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p w14:paraId="19ADFBB2" w14:textId="77777777" w:rsidR="00E51DC5" w:rsidRPr="00597FCF" w:rsidRDefault="00DD76C3">
      <w:pPr>
        <w:pStyle w:val="Papertitle"/>
        <w:rPr>
          <w:lang w:val="en-US"/>
        </w:rPr>
      </w:pPr>
      <w:r w:rsidRPr="00597FCF">
        <w:rPr>
          <w:lang w:val="en-US"/>
        </w:rPr>
        <w:t>Power quality in DC railway system: A facility to characterize the on-board detection systems</w:t>
      </w:r>
    </w:p>
    <w:p w14:paraId="429D9C41" w14:textId="4E4D2593" w:rsidR="00E51DC5" w:rsidRPr="00820747" w:rsidRDefault="004B6EB6">
      <w:pPr>
        <w:pStyle w:val="Authors"/>
        <w:rPr>
          <w:vertAlign w:val="superscript"/>
        </w:rPr>
      </w:pPr>
      <w:r w:rsidRPr="00597FCF">
        <w:t>D. Giordano</w:t>
      </w:r>
      <w:r w:rsidR="00E51DC5" w:rsidRPr="00597FCF">
        <w:rPr>
          <w:vertAlign w:val="superscript"/>
        </w:rPr>
        <w:t>1</w:t>
      </w:r>
      <w:r w:rsidR="00E51DC5" w:rsidRPr="00597FCF">
        <w:t>,</w:t>
      </w:r>
      <w:r w:rsidRPr="00597FCF">
        <w:t xml:space="preserve"> D. Signorino</w:t>
      </w:r>
      <w:r w:rsidRPr="00597FCF">
        <w:rPr>
          <w:vertAlign w:val="superscript"/>
        </w:rPr>
        <w:t>1</w:t>
      </w:r>
      <w:r w:rsidR="00BC2D56">
        <w:rPr>
          <w:vertAlign w:val="superscript"/>
        </w:rPr>
        <w:t>,2</w:t>
      </w:r>
      <w:r w:rsidRPr="00597FCF">
        <w:t xml:space="preserve">, </w:t>
      </w:r>
      <w:r w:rsidR="00625503">
        <w:t>C</w:t>
      </w:r>
      <w:r w:rsidRPr="00597FCF">
        <w:t xml:space="preserve">. </w:t>
      </w:r>
      <w:r w:rsidR="00625503">
        <w:t>Landi</w:t>
      </w:r>
      <w:r w:rsidR="00BC2D56">
        <w:rPr>
          <w:vertAlign w:val="superscript"/>
        </w:rPr>
        <w:t>3</w:t>
      </w:r>
      <w:r w:rsidRPr="00597FCF">
        <w:t>, A. Delle Femine</w:t>
      </w:r>
      <w:r w:rsidR="00BC2D56">
        <w:rPr>
          <w:vertAlign w:val="superscript"/>
        </w:rPr>
        <w:t>3</w:t>
      </w:r>
      <w:r w:rsidRPr="00597FCF">
        <w:t>, M. Luiso</w:t>
      </w:r>
      <w:proofErr w:type="gramStart"/>
      <w:r w:rsidR="00BC2D56">
        <w:rPr>
          <w:vertAlign w:val="superscript"/>
        </w:rPr>
        <w:t>3</w:t>
      </w:r>
      <w:r w:rsidR="00E51DC5" w:rsidRPr="00597FCF">
        <w:t xml:space="preserve"> </w:t>
      </w:r>
      <w:r w:rsidR="00820747">
        <w:t>,</w:t>
      </w:r>
      <w:proofErr w:type="gramEnd"/>
      <w:r w:rsidR="00820747">
        <w:t>G. Crotti</w:t>
      </w:r>
      <w:r w:rsidR="00820747">
        <w:rPr>
          <w:vertAlign w:val="superscript"/>
        </w:rPr>
        <w:t>1</w:t>
      </w:r>
    </w:p>
    <w:p w14:paraId="3380331E" w14:textId="46C5B15B" w:rsidR="00E51DC5" w:rsidRPr="00597FCF" w:rsidRDefault="00E51DC5">
      <w:pPr>
        <w:pStyle w:val="Affiliation"/>
        <w:rPr>
          <w:vertAlign w:val="superscript"/>
        </w:rPr>
      </w:pPr>
      <w:r w:rsidRPr="00597FCF">
        <w:rPr>
          <w:vertAlign w:val="superscript"/>
        </w:rPr>
        <w:t xml:space="preserve">1 </w:t>
      </w:r>
      <w:r w:rsidR="004B6EB6" w:rsidRPr="00597FCF">
        <w:t>Istituto Nazionale di Ricerca Metrologica (</w:t>
      </w:r>
      <w:proofErr w:type="spellStart"/>
      <w:r w:rsidR="004B6EB6" w:rsidRPr="00597FCF">
        <w:t>INRiM</w:t>
      </w:r>
      <w:proofErr w:type="spellEnd"/>
      <w:r w:rsidR="004B6EB6" w:rsidRPr="00597FCF">
        <w:t>)</w:t>
      </w:r>
    </w:p>
    <w:p w14:paraId="38B9867F" w14:textId="1EDF844C" w:rsidR="005124D6" w:rsidRPr="00BC2D56" w:rsidRDefault="00BC2D56" w:rsidP="005124D6">
      <w:pPr>
        <w:pStyle w:val="Affiliation"/>
      </w:pPr>
      <w:r w:rsidRPr="00BC2D56">
        <w:rPr>
          <w:vertAlign w:val="superscript"/>
        </w:rPr>
        <w:t>2</w:t>
      </w:r>
      <w:r w:rsidRPr="00BC2D56">
        <w:t>Politecnico di Torino</w:t>
      </w:r>
    </w:p>
    <w:p w14:paraId="7F91F8A5" w14:textId="39FBEAE6" w:rsidR="005124D6" w:rsidRPr="00597FCF" w:rsidRDefault="00BC2D56">
      <w:pPr>
        <w:pStyle w:val="Affiliation"/>
      </w:pPr>
      <w:r>
        <w:rPr>
          <w:vertAlign w:val="superscript"/>
        </w:rPr>
        <w:t>3</w:t>
      </w:r>
      <w:r w:rsidR="005124D6" w:rsidRPr="00597FCF">
        <w:rPr>
          <w:vertAlign w:val="superscript"/>
        </w:rPr>
        <w:t xml:space="preserve"> </w:t>
      </w:r>
      <w:r w:rsidR="005124D6" w:rsidRPr="00597FCF">
        <w:t>Università degli Studi della Campania: Luigi Vanvitelli</w:t>
      </w:r>
    </w:p>
    <w:p w14:paraId="26EBFACA" w14:textId="77777777" w:rsidR="00E51DC5" w:rsidRPr="00597FCF" w:rsidRDefault="00E51DC5">
      <w:pPr>
        <w:pStyle w:val="Affiliation"/>
      </w:pPr>
    </w:p>
    <w:p w14:paraId="4600E0AA" w14:textId="77777777" w:rsidR="00E51DC5" w:rsidRPr="00597FCF" w:rsidRDefault="00E51DC5">
      <w:pPr>
        <w:sectPr w:rsidR="00E51DC5" w:rsidRPr="00597FCF" w:rsidSect="005A5652">
          <w:pgSz w:w="11906" w:h="16838"/>
          <w:pgMar w:top="2324" w:right="1134" w:bottom="1417" w:left="1134" w:header="993" w:footer="720" w:gutter="0"/>
          <w:cols w:space="720"/>
          <w:titlePg/>
          <w:docGrid w:linePitch="326"/>
        </w:sectPr>
      </w:pPr>
    </w:p>
    <w:p w14:paraId="383842B7" w14:textId="6648B696" w:rsidR="00D47D92" w:rsidRDefault="00E51DC5">
      <w:pPr>
        <w:pStyle w:val="Abstract"/>
        <w:rPr>
          <w:lang w:val="en-US"/>
        </w:rPr>
      </w:pPr>
      <w:r w:rsidRPr="00597FCF">
        <w:rPr>
          <w:i/>
          <w:iCs/>
          <w:lang w:val="en-US"/>
        </w:rPr>
        <w:lastRenderedPageBreak/>
        <w:t>Abstract</w:t>
      </w:r>
      <w:r w:rsidRPr="00597FCF">
        <w:rPr>
          <w:lang w:val="en-US"/>
        </w:rPr>
        <w:t xml:space="preserve"> – </w:t>
      </w:r>
      <w:r w:rsidR="005C4B3D" w:rsidRPr="00597FCF">
        <w:rPr>
          <w:lang w:val="en-US"/>
        </w:rPr>
        <w:t xml:space="preserve">The liberalization of the railway market and the aim of fostering the interoperability among European countries makes the monitoring of the quality of the power (PQ) exchanged between trains and supply system even more important. At the moment, definitions, procedures and techniques for DC railway systems are under development. In this contest, the paper proposes a reference generation system able to reproduce the voltage and current waveforms experienced at pantograph by a DC 3 kV locomotive. The system is able to generate simultaneously </w:t>
      </w:r>
      <w:r w:rsidR="00253330" w:rsidRPr="00597FCF">
        <w:rPr>
          <w:lang w:val="en-US"/>
        </w:rPr>
        <w:t xml:space="preserve">voltage and current signals </w:t>
      </w:r>
      <w:r w:rsidR="005C4B3D" w:rsidRPr="00597FCF">
        <w:rPr>
          <w:lang w:val="en-US"/>
        </w:rPr>
        <w:t xml:space="preserve">up to 10 kV </w:t>
      </w:r>
      <w:r w:rsidR="00253330" w:rsidRPr="00597FCF">
        <w:rPr>
          <w:lang w:val="en-US"/>
        </w:rPr>
        <w:t xml:space="preserve">peak </w:t>
      </w:r>
      <w:r w:rsidR="005C4B3D" w:rsidRPr="00597FCF">
        <w:rPr>
          <w:lang w:val="en-US"/>
        </w:rPr>
        <w:t>and 1.2 kA</w:t>
      </w:r>
      <w:r w:rsidR="00253330" w:rsidRPr="00597FCF">
        <w:rPr>
          <w:lang w:val="en-US"/>
        </w:rPr>
        <w:t xml:space="preserve"> peak respectively</w:t>
      </w:r>
      <w:r w:rsidR="005C4B3D" w:rsidRPr="00597FCF">
        <w:rPr>
          <w:lang w:val="en-US"/>
        </w:rPr>
        <w:t xml:space="preserve">. The </w:t>
      </w:r>
      <w:r w:rsidR="00D47D92" w:rsidRPr="00597FCF">
        <w:rPr>
          <w:lang w:val="en-US"/>
        </w:rPr>
        <w:t>AC</w:t>
      </w:r>
      <w:r w:rsidR="005C4B3D" w:rsidRPr="00597FCF">
        <w:rPr>
          <w:lang w:val="en-US"/>
        </w:rPr>
        <w:t xml:space="preserve"> </w:t>
      </w:r>
      <w:r w:rsidR="00253330" w:rsidRPr="00597FCF">
        <w:rPr>
          <w:lang w:val="en-US"/>
        </w:rPr>
        <w:t>ripple</w:t>
      </w:r>
      <w:r w:rsidR="00D47D92" w:rsidRPr="00597FCF">
        <w:rPr>
          <w:lang w:val="en-US"/>
        </w:rPr>
        <w:t xml:space="preserve"> </w:t>
      </w:r>
      <w:r w:rsidR="00253330" w:rsidRPr="00597FCF">
        <w:rPr>
          <w:lang w:val="en-US"/>
        </w:rPr>
        <w:t>which can be superimposed has</w:t>
      </w:r>
      <w:r w:rsidR="00D47D92" w:rsidRPr="00597FCF">
        <w:rPr>
          <w:lang w:val="en-US"/>
        </w:rPr>
        <w:t xml:space="preserve"> a</w:t>
      </w:r>
      <w:r w:rsidR="00253330" w:rsidRPr="00597FCF">
        <w:rPr>
          <w:lang w:val="en-US"/>
        </w:rPr>
        <w:t xml:space="preserve"> bandwidth of</w:t>
      </w:r>
      <w:r w:rsidR="005C4B3D" w:rsidRPr="00597FCF">
        <w:rPr>
          <w:lang w:val="en-US"/>
        </w:rPr>
        <w:t xml:space="preserve"> 30</w:t>
      </w:r>
      <w:r w:rsidR="00D47D92" w:rsidRPr="00597FCF">
        <w:rPr>
          <w:lang w:val="en-US"/>
        </w:rPr>
        <w:t> </w:t>
      </w:r>
      <w:r w:rsidR="006B1C6D" w:rsidRPr="00597FCF">
        <w:rPr>
          <w:lang w:val="en-US"/>
        </w:rPr>
        <w:t>kHz for the voltage and 6</w:t>
      </w:r>
      <w:r w:rsidR="005C4B3D" w:rsidRPr="00597FCF">
        <w:rPr>
          <w:lang w:val="en-US"/>
        </w:rPr>
        <w:t>00 Hz for the current</w:t>
      </w:r>
      <w:r w:rsidR="00253330" w:rsidRPr="00597FCF">
        <w:rPr>
          <w:lang w:val="en-US"/>
        </w:rPr>
        <w:t>.</w:t>
      </w:r>
      <w:r w:rsidR="005C4B3D" w:rsidRPr="00597FCF">
        <w:rPr>
          <w:lang w:val="en-US"/>
        </w:rPr>
        <w:t xml:space="preserve"> Moreover, it is able to reproduce several PQ events both with an accuracy, in the worst case of 1%.</w:t>
      </w:r>
    </w:p>
    <w:p w14:paraId="0E9184FE" w14:textId="77777777" w:rsidR="005124D6" w:rsidRPr="00597FCF" w:rsidRDefault="005124D6">
      <w:pPr>
        <w:pStyle w:val="Abstract"/>
        <w:rPr>
          <w:lang w:val="en-US"/>
        </w:rPr>
      </w:pPr>
    </w:p>
    <w:p w14:paraId="62669DCA" w14:textId="3BCE6FC1" w:rsidR="001328A6" w:rsidRPr="00597FCF" w:rsidRDefault="001328A6">
      <w:pPr>
        <w:pStyle w:val="Abstract"/>
        <w:rPr>
          <w:i/>
          <w:lang w:val="en-US"/>
        </w:rPr>
      </w:pPr>
      <w:r w:rsidRPr="00597FCF">
        <w:rPr>
          <w:i/>
          <w:lang w:val="en-US"/>
        </w:rPr>
        <w:t>Keywords:</w:t>
      </w:r>
      <w:r w:rsidR="00253330" w:rsidRPr="00597FCF">
        <w:rPr>
          <w:i/>
          <w:lang w:val="en-US"/>
        </w:rPr>
        <w:t xml:space="preserve"> DC power quality, DC railway system, electric arcs, </w:t>
      </w:r>
    </w:p>
    <w:p w14:paraId="15C03CE8" w14:textId="77777777" w:rsidR="00E51DC5" w:rsidRPr="00597FCF" w:rsidRDefault="00E51DC5" w:rsidP="00EC0F77">
      <w:pPr>
        <w:pStyle w:val="Sectionheading"/>
        <w:rPr>
          <w:lang w:val="en-US"/>
        </w:rPr>
      </w:pPr>
      <w:r w:rsidRPr="00597FCF">
        <w:rPr>
          <w:lang w:val="en-US"/>
        </w:rPr>
        <w:t>Introduction</w:t>
      </w:r>
    </w:p>
    <w:p w14:paraId="0AED40B0" w14:textId="7674F579" w:rsidR="00010151" w:rsidRPr="00597FCF" w:rsidRDefault="00010151" w:rsidP="00010151">
      <w:pPr>
        <w:ind w:firstLine="170"/>
        <w:jc w:val="both"/>
        <w:rPr>
          <w:sz w:val="20"/>
          <w:lang w:val="en-US"/>
        </w:rPr>
      </w:pPr>
      <w:r w:rsidRPr="00597FCF">
        <w:rPr>
          <w:sz w:val="20"/>
          <w:lang w:val="en-US"/>
        </w:rPr>
        <w:t>With the aim of establishing a single European railway area, European Union passed legislation that gives rail operators the ability to run services in and between other EU countries, opening up cross-border competition. The presence of several railway undertakings and an independent manager infrastructure in the new scenario make the quality of the power exchanged between the train and the supply system an important aspect which has to be monitored with continuity</w:t>
      </w:r>
      <w:r w:rsidR="00AF4C37" w:rsidRPr="00597FCF">
        <w:rPr>
          <w:sz w:val="20"/>
          <w:lang w:val="en-US"/>
        </w:rPr>
        <w:t xml:space="preserve"> </w:t>
      </w:r>
      <w:r w:rsidR="00AF4C37" w:rsidRPr="00597FCF">
        <w:rPr>
          <w:sz w:val="20"/>
          <w:lang w:val="en-US"/>
        </w:rPr>
        <w:fldChar w:fldCharType="begin"/>
      </w:r>
      <w:r w:rsidR="00AF4C37" w:rsidRPr="00597FCF">
        <w:rPr>
          <w:sz w:val="20"/>
          <w:lang w:val="en-US"/>
        </w:rPr>
        <w:instrText xml:space="preserve"> REF _Ref38972989 \r \h </w:instrText>
      </w:r>
      <w:r w:rsidR="00597FCF">
        <w:rPr>
          <w:sz w:val="20"/>
          <w:lang w:val="en-US"/>
        </w:rPr>
        <w:instrText xml:space="preserve"> \* MERGEFORMAT </w:instrText>
      </w:r>
      <w:r w:rsidR="00AF4C37" w:rsidRPr="00597FCF">
        <w:rPr>
          <w:sz w:val="20"/>
          <w:lang w:val="en-US"/>
        </w:rPr>
      </w:r>
      <w:r w:rsidR="00AF4C37" w:rsidRPr="00597FCF">
        <w:rPr>
          <w:sz w:val="20"/>
          <w:lang w:val="en-US"/>
        </w:rPr>
        <w:fldChar w:fldCharType="separate"/>
      </w:r>
      <w:r w:rsidR="001315EA">
        <w:rPr>
          <w:sz w:val="20"/>
          <w:lang w:val="en-US"/>
        </w:rPr>
        <w:t>[1]</w:t>
      </w:r>
      <w:r w:rsidR="00AF4C37" w:rsidRPr="00597FCF">
        <w:rPr>
          <w:sz w:val="20"/>
          <w:lang w:val="en-US"/>
        </w:rPr>
        <w:fldChar w:fldCharType="end"/>
      </w:r>
      <w:r w:rsidRPr="00597FCF">
        <w:rPr>
          <w:sz w:val="20"/>
          <w:lang w:val="en-US"/>
        </w:rPr>
        <w:t>. Moreover, an accurate knowledge of real-time power quality of the railway supply system is a valuable tool to foster a high efficiency solution for the whole railway system by “awarding” for good power quality delivered and absorbed.</w:t>
      </w:r>
    </w:p>
    <w:p w14:paraId="0CDBA692" w14:textId="4C7AC923" w:rsidR="005124D6" w:rsidRDefault="00010151" w:rsidP="001E24A2">
      <w:pPr>
        <w:ind w:firstLine="170"/>
        <w:jc w:val="both"/>
        <w:rPr>
          <w:sz w:val="20"/>
          <w:lang w:val="en-US"/>
        </w:rPr>
      </w:pPr>
      <w:r w:rsidRPr="00597FCF">
        <w:rPr>
          <w:sz w:val="20"/>
          <w:lang w:val="en-US"/>
        </w:rPr>
        <w:t xml:space="preserve">The development of techniques and procedures for the detection of power quality events in DC systems is a new topic. </w:t>
      </w:r>
      <w:r w:rsidR="0084486C" w:rsidRPr="00597FCF">
        <w:rPr>
          <w:sz w:val="20"/>
          <w:lang w:val="en-US"/>
        </w:rPr>
        <w:t xml:space="preserve">The state of the art related to the power quality in DC railway system is provided by standard EN 50163 </w:t>
      </w:r>
      <w:r w:rsidR="00AF4C37" w:rsidRPr="00597FCF">
        <w:rPr>
          <w:sz w:val="20"/>
          <w:lang w:val="en-US"/>
        </w:rPr>
        <w:fldChar w:fldCharType="begin"/>
      </w:r>
      <w:r w:rsidR="00AF4C37" w:rsidRPr="00597FCF">
        <w:rPr>
          <w:sz w:val="20"/>
          <w:lang w:val="en-US"/>
        </w:rPr>
        <w:instrText xml:space="preserve"> REF _Ref38973002 \r \h </w:instrText>
      </w:r>
      <w:r w:rsidR="00597FCF">
        <w:rPr>
          <w:sz w:val="20"/>
          <w:lang w:val="en-US"/>
        </w:rPr>
        <w:instrText xml:space="preserve"> \* MERGEFORMAT </w:instrText>
      </w:r>
      <w:r w:rsidR="00AF4C37" w:rsidRPr="00597FCF">
        <w:rPr>
          <w:sz w:val="20"/>
          <w:lang w:val="en-US"/>
        </w:rPr>
      </w:r>
      <w:r w:rsidR="00AF4C37" w:rsidRPr="00597FCF">
        <w:rPr>
          <w:sz w:val="20"/>
          <w:lang w:val="en-US"/>
        </w:rPr>
        <w:fldChar w:fldCharType="separate"/>
      </w:r>
      <w:r w:rsidR="001315EA">
        <w:rPr>
          <w:sz w:val="20"/>
          <w:lang w:val="en-US"/>
        </w:rPr>
        <w:t>[2]</w:t>
      </w:r>
      <w:r w:rsidR="00AF4C37" w:rsidRPr="00597FCF">
        <w:rPr>
          <w:sz w:val="20"/>
          <w:lang w:val="en-US"/>
        </w:rPr>
        <w:fldChar w:fldCharType="end"/>
      </w:r>
      <w:r w:rsidR="0084486C" w:rsidRPr="00597FCF">
        <w:rPr>
          <w:sz w:val="20"/>
          <w:lang w:val="en-US"/>
        </w:rPr>
        <w:t xml:space="preserve"> that defines the main characteristics of the supply voltage of traction system and EN 50388 </w:t>
      </w:r>
      <w:r w:rsidR="00764286" w:rsidRPr="00597FCF">
        <w:rPr>
          <w:sz w:val="20"/>
          <w:lang w:val="en-US"/>
        </w:rPr>
        <w:fldChar w:fldCharType="begin"/>
      </w:r>
      <w:r w:rsidR="00764286" w:rsidRPr="00597FCF">
        <w:rPr>
          <w:sz w:val="20"/>
          <w:lang w:val="en-US"/>
        </w:rPr>
        <w:instrText xml:space="preserve"> REF _Ref36046112 \r \h </w:instrText>
      </w:r>
      <w:r w:rsidR="00597FCF">
        <w:rPr>
          <w:sz w:val="20"/>
          <w:lang w:val="en-US"/>
        </w:rPr>
        <w:instrText xml:space="preserve"> \* MERGEFORMAT </w:instrText>
      </w:r>
      <w:r w:rsidR="00764286" w:rsidRPr="00597FCF">
        <w:rPr>
          <w:sz w:val="20"/>
          <w:lang w:val="en-US"/>
        </w:rPr>
      </w:r>
      <w:r w:rsidR="00764286" w:rsidRPr="00597FCF">
        <w:rPr>
          <w:sz w:val="20"/>
          <w:lang w:val="en-US"/>
        </w:rPr>
        <w:fldChar w:fldCharType="separate"/>
      </w:r>
      <w:r w:rsidR="001315EA">
        <w:rPr>
          <w:sz w:val="20"/>
          <w:lang w:val="en-US"/>
        </w:rPr>
        <w:t>[3]</w:t>
      </w:r>
      <w:r w:rsidR="00764286" w:rsidRPr="00597FCF">
        <w:rPr>
          <w:sz w:val="20"/>
          <w:lang w:val="en-US"/>
        </w:rPr>
        <w:fldChar w:fldCharType="end"/>
      </w:r>
      <w:r w:rsidR="0084486C" w:rsidRPr="00597FCF">
        <w:rPr>
          <w:sz w:val="20"/>
          <w:lang w:val="en-US"/>
        </w:rPr>
        <w:t xml:space="preserve"> that establishes requirements for the compatibility of rolling stock with infrastructure.</w:t>
      </w:r>
      <w:r w:rsidR="00AA49B8" w:rsidRPr="00597FCF">
        <w:rPr>
          <w:sz w:val="20"/>
          <w:lang w:val="en-US"/>
        </w:rPr>
        <w:t xml:space="preserve"> Both standards provide information related </w:t>
      </w:r>
      <w:r w:rsidR="00AA49B8" w:rsidRPr="00597FCF">
        <w:rPr>
          <w:sz w:val="20"/>
          <w:lang w:val="en-US"/>
        </w:rPr>
        <w:lastRenderedPageBreak/>
        <w:t>to the voltage at catenary but, does not consider all the</w:t>
      </w:r>
      <w:r w:rsidR="00253330" w:rsidRPr="00597FCF">
        <w:rPr>
          <w:sz w:val="20"/>
          <w:lang w:val="en-US"/>
        </w:rPr>
        <w:t xml:space="preserve"> possible events that can occur</w:t>
      </w:r>
      <w:r w:rsidR="00AA49B8" w:rsidRPr="00597FCF">
        <w:rPr>
          <w:sz w:val="20"/>
          <w:lang w:val="en-US"/>
        </w:rPr>
        <w:t xml:space="preserve"> in the supply system and does not provide exhaustive descri</w:t>
      </w:r>
      <w:r w:rsidR="00EC0F77" w:rsidRPr="00597FCF">
        <w:rPr>
          <w:sz w:val="20"/>
          <w:lang w:val="en-US"/>
        </w:rPr>
        <w:t>ption of the procedures that have</w:t>
      </w:r>
      <w:r w:rsidR="00AA49B8" w:rsidRPr="00597FCF">
        <w:rPr>
          <w:sz w:val="20"/>
          <w:lang w:val="en-US"/>
        </w:rPr>
        <w:t xml:space="preserve"> to be applied for the power quality monitoring. Another aspect that </w:t>
      </w:r>
      <w:r w:rsidR="000E0656" w:rsidRPr="00597FCF">
        <w:rPr>
          <w:sz w:val="20"/>
          <w:lang w:val="en-US"/>
        </w:rPr>
        <w:t>makes</w:t>
      </w:r>
      <w:r w:rsidR="00AA49B8" w:rsidRPr="00597FCF">
        <w:rPr>
          <w:sz w:val="20"/>
          <w:lang w:val="en-US"/>
        </w:rPr>
        <w:t xml:space="preserve"> the power quality a key point is the electromagnetic compatibility between the traction system and the electrical information that </w:t>
      </w:r>
      <w:r w:rsidR="000E0656" w:rsidRPr="00597FCF">
        <w:rPr>
          <w:sz w:val="20"/>
          <w:lang w:val="en-US"/>
        </w:rPr>
        <w:t>flows</w:t>
      </w:r>
      <w:r w:rsidR="00AA49B8" w:rsidRPr="00597FCF">
        <w:rPr>
          <w:sz w:val="20"/>
          <w:lang w:val="en-US"/>
        </w:rPr>
        <w:t xml:space="preserve"> in the tracks for signaling purposes. In this case, restrictions are defined, in the frequency domain, for the current absorbed and injected by the rolling stock. At the moment, there are no European or International standards that provide such limits and procedure to estimate them. Only procedures provided by National infrastructure manager are available</w:t>
      </w:r>
      <w:r w:rsidR="00F428F6" w:rsidRPr="00597FCF">
        <w:rPr>
          <w:sz w:val="20"/>
          <w:lang w:val="en-US"/>
        </w:rPr>
        <w:t xml:space="preserve"> </w:t>
      </w:r>
      <w:r w:rsidR="00F428F6" w:rsidRPr="00597FCF">
        <w:rPr>
          <w:sz w:val="20"/>
          <w:lang w:val="en-US"/>
        </w:rPr>
        <w:fldChar w:fldCharType="begin"/>
      </w:r>
      <w:r w:rsidR="00F428F6" w:rsidRPr="00597FCF">
        <w:rPr>
          <w:sz w:val="20"/>
          <w:lang w:val="en-US"/>
        </w:rPr>
        <w:instrText xml:space="preserve"> REF _Ref36117744 \r \h </w:instrText>
      </w:r>
      <w:r w:rsidR="00597FCF">
        <w:rPr>
          <w:sz w:val="20"/>
          <w:lang w:val="en-US"/>
        </w:rPr>
        <w:instrText xml:space="preserve"> \* MERGEFORMAT </w:instrText>
      </w:r>
      <w:r w:rsidR="00F428F6" w:rsidRPr="00597FCF">
        <w:rPr>
          <w:sz w:val="20"/>
          <w:lang w:val="en-US"/>
        </w:rPr>
      </w:r>
      <w:r w:rsidR="00F428F6" w:rsidRPr="00597FCF">
        <w:rPr>
          <w:sz w:val="20"/>
          <w:lang w:val="en-US"/>
        </w:rPr>
        <w:fldChar w:fldCharType="separate"/>
      </w:r>
      <w:r w:rsidR="001315EA">
        <w:rPr>
          <w:sz w:val="20"/>
          <w:lang w:val="en-US"/>
        </w:rPr>
        <w:t>[4]</w:t>
      </w:r>
      <w:r w:rsidR="00F428F6" w:rsidRPr="00597FCF">
        <w:rPr>
          <w:sz w:val="20"/>
          <w:lang w:val="en-US"/>
        </w:rPr>
        <w:fldChar w:fldCharType="end"/>
      </w:r>
      <w:r w:rsidR="00AA49B8" w:rsidRPr="00597FCF">
        <w:rPr>
          <w:sz w:val="20"/>
          <w:lang w:val="en-US"/>
        </w:rPr>
        <w:t xml:space="preserve">. </w:t>
      </w:r>
      <w:r w:rsidR="007D4870" w:rsidRPr="00597FCF">
        <w:rPr>
          <w:sz w:val="20"/>
          <w:lang w:val="en-US"/>
        </w:rPr>
        <w:t>Researchers</w:t>
      </w:r>
      <w:r w:rsidR="0095623B" w:rsidRPr="00597FCF">
        <w:rPr>
          <w:sz w:val="20"/>
          <w:lang w:val="en-US"/>
        </w:rPr>
        <w:t xml:space="preserve"> and working groups of</w:t>
      </w:r>
      <w:r w:rsidR="007D4870" w:rsidRPr="00597FCF">
        <w:rPr>
          <w:sz w:val="20"/>
          <w:lang w:val="en-US"/>
        </w:rPr>
        <w:t xml:space="preserve"> standardization</w:t>
      </w:r>
      <w:r w:rsidR="0095623B" w:rsidRPr="00597FCF">
        <w:rPr>
          <w:sz w:val="20"/>
          <w:lang w:val="en-US"/>
        </w:rPr>
        <w:t xml:space="preserve"> technical committees </w:t>
      </w:r>
      <w:r w:rsidR="00F34F4B" w:rsidRPr="00597FCF">
        <w:rPr>
          <w:sz w:val="20"/>
          <w:lang w:val="en-US"/>
        </w:rPr>
        <w:t>are involved in the study, classification and</w:t>
      </w:r>
      <w:r w:rsidR="0095623B" w:rsidRPr="00597FCF">
        <w:rPr>
          <w:sz w:val="20"/>
          <w:lang w:val="en-US"/>
        </w:rPr>
        <w:t xml:space="preserve"> definition of the power quality </w:t>
      </w:r>
      <w:r w:rsidR="00F34F4B" w:rsidRPr="00597FCF">
        <w:rPr>
          <w:sz w:val="20"/>
          <w:lang w:val="en-US"/>
        </w:rPr>
        <w:t xml:space="preserve">events and metrics </w:t>
      </w:r>
      <w:r w:rsidR="0095623B" w:rsidRPr="00597FCF">
        <w:rPr>
          <w:sz w:val="20"/>
          <w:lang w:val="en-US"/>
        </w:rPr>
        <w:t>in the railway system.</w:t>
      </w:r>
      <w:r w:rsidR="00F34F4B" w:rsidRPr="00597FCF">
        <w:rPr>
          <w:sz w:val="20"/>
          <w:lang w:val="en-US"/>
        </w:rPr>
        <w:t xml:space="preserve"> Beside the standard definition of power quality for DC railway system, there is an increasing development of </w:t>
      </w:r>
      <w:r w:rsidR="008C0653" w:rsidRPr="00597FCF">
        <w:rPr>
          <w:sz w:val="20"/>
          <w:lang w:val="en-US"/>
        </w:rPr>
        <w:t xml:space="preserve">measuring </w:t>
      </w:r>
      <w:r w:rsidR="00F34F4B" w:rsidRPr="00597FCF">
        <w:rPr>
          <w:sz w:val="20"/>
          <w:lang w:val="en-US"/>
        </w:rPr>
        <w:t xml:space="preserve">systems for the continuous and accurate monitoring of the power quality events. </w:t>
      </w:r>
      <w:r w:rsidR="006D021F" w:rsidRPr="00597FCF">
        <w:rPr>
          <w:sz w:val="20"/>
          <w:lang w:val="en-US"/>
        </w:rPr>
        <w:t>An interesting diagnostic approach, strictly connected with the power quality monitoring, is the monitoring of the impedance variation in a defined frequency bandwidth measured at the pantograph of a traction unit. All these new systems that exploits the measurement of the voltage and current at pantograph involve the voltage and current transducers, the acquisition system and algorithm</w:t>
      </w:r>
      <w:r w:rsidR="00184130" w:rsidRPr="00597FCF">
        <w:rPr>
          <w:sz w:val="20"/>
          <w:lang w:val="en-US"/>
        </w:rPr>
        <w:t>s</w:t>
      </w:r>
      <w:r w:rsidR="006D021F" w:rsidRPr="00597FCF">
        <w:rPr>
          <w:sz w:val="20"/>
          <w:lang w:val="en-US"/>
        </w:rPr>
        <w:t xml:space="preserve"> for the detection </w:t>
      </w:r>
      <w:r w:rsidR="00184130" w:rsidRPr="00597FCF">
        <w:rPr>
          <w:sz w:val="20"/>
          <w:lang w:val="en-US"/>
        </w:rPr>
        <w:t>of the defined parameters. In</w:t>
      </w:r>
      <w:r w:rsidR="006D021F" w:rsidRPr="00597FCF">
        <w:rPr>
          <w:sz w:val="20"/>
          <w:lang w:val="en-US"/>
        </w:rPr>
        <w:t xml:space="preserve"> real conditions</w:t>
      </w:r>
      <w:r w:rsidR="00184130" w:rsidRPr="00597FCF">
        <w:rPr>
          <w:sz w:val="20"/>
          <w:lang w:val="en-US"/>
        </w:rPr>
        <w:t>,</w:t>
      </w:r>
      <w:r w:rsidR="006D021F" w:rsidRPr="00597FCF">
        <w:rPr>
          <w:sz w:val="20"/>
          <w:lang w:val="en-US"/>
        </w:rPr>
        <w:t xml:space="preserve"> the electrical signals are very distorted with different events occurring in the same time. Moreover, the non-linearity of the transducers can introduce spurious harmonics or </w:t>
      </w:r>
      <w:r w:rsidR="00461F8E" w:rsidRPr="00597FCF">
        <w:rPr>
          <w:sz w:val="20"/>
          <w:lang w:val="en-US"/>
        </w:rPr>
        <w:t>corrupt the harmonic estimation.</w:t>
      </w:r>
    </w:p>
    <w:p w14:paraId="536C4613" w14:textId="0A9B8F78" w:rsidR="001E24A2" w:rsidRPr="00597FCF" w:rsidRDefault="00461F8E" w:rsidP="001E24A2">
      <w:pPr>
        <w:ind w:firstLine="170"/>
        <w:jc w:val="both"/>
        <w:rPr>
          <w:sz w:val="20"/>
          <w:lang w:val="en-US"/>
        </w:rPr>
      </w:pPr>
      <w:r w:rsidRPr="00597FCF">
        <w:rPr>
          <w:sz w:val="20"/>
          <w:lang w:val="en-US"/>
        </w:rPr>
        <w:t xml:space="preserve">A system able to reproduce the real electrical conditions experienced at the pantograph of a 3 kV locomotive can contribute in the estimation of the reliability of the developed measuring system without </w:t>
      </w:r>
      <w:r w:rsidR="00672C9E" w:rsidRPr="00597FCF">
        <w:rPr>
          <w:sz w:val="20"/>
          <w:lang w:val="en-US"/>
        </w:rPr>
        <w:t>equipping</w:t>
      </w:r>
      <w:r w:rsidRPr="00597FCF">
        <w:rPr>
          <w:sz w:val="20"/>
          <w:lang w:val="en-US"/>
        </w:rPr>
        <w:t xml:space="preserve"> a locomotive with new measuring systems for testing purposes. In this </w:t>
      </w:r>
      <w:r w:rsidR="000E0656" w:rsidRPr="00597FCF">
        <w:rPr>
          <w:sz w:val="20"/>
          <w:lang w:val="en-US"/>
        </w:rPr>
        <w:t>context</w:t>
      </w:r>
      <w:r w:rsidRPr="00597FCF">
        <w:rPr>
          <w:sz w:val="20"/>
          <w:lang w:val="en-US"/>
        </w:rPr>
        <w:t>, t</w:t>
      </w:r>
      <w:r w:rsidR="00010151" w:rsidRPr="00597FCF">
        <w:rPr>
          <w:sz w:val="20"/>
          <w:lang w:val="en-US"/>
        </w:rPr>
        <w:t>he aim of this paper is to provid</w:t>
      </w:r>
      <w:r w:rsidRPr="00597FCF">
        <w:rPr>
          <w:sz w:val="20"/>
          <w:lang w:val="en-US"/>
        </w:rPr>
        <w:t>e</w:t>
      </w:r>
      <w:r w:rsidR="00010151" w:rsidRPr="00597FCF">
        <w:rPr>
          <w:sz w:val="20"/>
          <w:lang w:val="en-US"/>
        </w:rPr>
        <w:t xml:space="preserve"> a</w:t>
      </w:r>
      <w:r w:rsidRPr="00597FCF">
        <w:rPr>
          <w:sz w:val="20"/>
          <w:lang w:val="en-US"/>
        </w:rPr>
        <w:t xml:space="preserve"> reference generation</w:t>
      </w:r>
      <w:r w:rsidR="00010151" w:rsidRPr="00597FCF">
        <w:rPr>
          <w:sz w:val="20"/>
          <w:lang w:val="en-US"/>
        </w:rPr>
        <w:t xml:space="preserve"> system that allows the characterization of the power quality measurement-chain detection under realistic conditions</w:t>
      </w:r>
      <w:r w:rsidR="00F32195" w:rsidRPr="00597FCF">
        <w:rPr>
          <w:sz w:val="20"/>
          <w:lang w:val="en-US"/>
        </w:rPr>
        <w:t xml:space="preserve">. </w:t>
      </w:r>
      <w:r w:rsidR="00010151" w:rsidRPr="00597FCF">
        <w:rPr>
          <w:sz w:val="20"/>
          <w:lang w:val="en-US"/>
        </w:rPr>
        <w:t xml:space="preserve">The proposed system is able to reproduce, with a declared uncertainty, the voltage and </w:t>
      </w:r>
      <w:r w:rsidR="00010151" w:rsidRPr="00597FCF">
        <w:rPr>
          <w:noProof/>
          <w:sz w:val="20"/>
          <w:lang w:val="en-US"/>
        </w:rPr>
        <w:t xml:space="preserve">current at a pantograph of a 3 kV DC </w:t>
      </w:r>
      <w:r w:rsidR="00010151" w:rsidRPr="00597FCF">
        <w:rPr>
          <w:noProof/>
          <w:sz w:val="20"/>
          <w:lang w:val="en-US"/>
        </w:rPr>
        <w:lastRenderedPageBreak/>
        <w:t>locomotive,</w:t>
      </w:r>
      <w:r w:rsidR="00010151" w:rsidRPr="00597FCF">
        <w:rPr>
          <w:sz w:val="20"/>
          <w:lang w:val="en-US"/>
        </w:rPr>
        <w:t xml:space="preserve"> injecting both stead-state distortions (harmonics, inter-harmonics) and/or transient events with a frequency content of 30 kHz for the voltage and </w:t>
      </w:r>
      <w:r w:rsidR="006B1C6D" w:rsidRPr="00597FCF">
        <w:rPr>
          <w:sz w:val="20"/>
          <w:lang w:val="en-US"/>
        </w:rPr>
        <w:t>6</w:t>
      </w:r>
      <w:r w:rsidR="00010151" w:rsidRPr="00597FCF">
        <w:rPr>
          <w:sz w:val="20"/>
          <w:lang w:val="en-US"/>
        </w:rPr>
        <w:t>00 Hz for the current. This facility can be used in the estimation of the reliability of the power quality</w:t>
      </w:r>
      <w:r w:rsidRPr="00597FCF">
        <w:rPr>
          <w:sz w:val="20"/>
          <w:lang w:val="en-US"/>
        </w:rPr>
        <w:t xml:space="preserve"> </w:t>
      </w:r>
      <w:r w:rsidR="00E54E5B" w:rsidRPr="00597FCF">
        <w:rPr>
          <w:noProof/>
          <w:lang w:eastAsia="it-IT" w:bidi="ar-SA"/>
        </w:rPr>
        <mc:AlternateContent>
          <mc:Choice Requires="wps">
            <w:drawing>
              <wp:anchor distT="0" distB="0" distL="114300" distR="114300" simplePos="0" relativeHeight="251663872" behindDoc="0" locked="0" layoutInCell="1" allowOverlap="1" wp14:anchorId="3CAAF27F" wp14:editId="23CD0620">
                <wp:simplePos x="0" y="0"/>
                <wp:positionH relativeFrom="margin">
                  <wp:posOffset>3169920</wp:posOffset>
                </wp:positionH>
                <wp:positionV relativeFrom="margin">
                  <wp:align>top</wp:align>
                </wp:positionV>
                <wp:extent cx="2951480" cy="2071370"/>
                <wp:effectExtent l="0" t="0" r="1270" b="5080"/>
                <wp:wrapSquare wrapText="bothSides"/>
                <wp:docPr id="6"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1480" cy="2071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8AC9E9E" w14:textId="6FC1E445" w:rsidR="001E2C53" w:rsidRDefault="00E54E5B" w:rsidP="00E54E5B">
                            <w:pPr>
                              <w:keepNext/>
                              <w:ind w:left="-142"/>
                              <w:jc w:val="center"/>
                            </w:pPr>
                            <w:r>
                              <w:rPr>
                                <w:noProof/>
                                <w:lang w:eastAsia="it-IT" w:bidi="ar-SA"/>
                              </w:rPr>
                              <w:drawing>
                                <wp:inline distT="0" distB="0" distL="0" distR="0" wp14:anchorId="7C5F1696" wp14:editId="30DAB08C">
                                  <wp:extent cx="2695630" cy="1592028"/>
                                  <wp:effectExtent l="0" t="0" r="0" b="8255"/>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maschera.PNG"/>
                                          <pic:cNvPicPr/>
                                        </pic:nvPicPr>
                                        <pic:blipFill>
                                          <a:blip r:embed="rId8">
                                            <a:extLst>
                                              <a:ext uri="{28A0092B-C50C-407E-A947-70E740481C1C}">
                                                <a14:useLocalDpi xmlns:a14="http://schemas.microsoft.com/office/drawing/2010/main" val="0"/>
                                              </a:ext>
                                            </a:extLst>
                                          </a:blip>
                                          <a:stretch>
                                            <a:fillRect/>
                                          </a:stretch>
                                        </pic:blipFill>
                                        <pic:spPr>
                                          <a:xfrm>
                                            <a:off x="0" y="0"/>
                                            <a:ext cx="2699565" cy="1594352"/>
                                          </a:xfrm>
                                          <a:prstGeom prst="rect">
                                            <a:avLst/>
                                          </a:prstGeom>
                                        </pic:spPr>
                                      </pic:pic>
                                    </a:graphicData>
                                  </a:graphic>
                                </wp:inline>
                              </w:drawing>
                            </w:r>
                          </w:p>
                          <w:p w14:paraId="714DEC1C" w14:textId="278BB4B1" w:rsidR="001E2C53" w:rsidRPr="009E5C79" w:rsidRDefault="001E2C53" w:rsidP="001E2C53">
                            <w:pPr>
                              <w:pStyle w:val="Didascalia"/>
                              <w:rPr>
                                <w:lang w:val="en-US"/>
                              </w:rPr>
                            </w:pPr>
                            <w:bookmarkStart w:id="0" w:name="_Ref36045510"/>
                            <w:r w:rsidRPr="009E5C79">
                              <w:rPr>
                                <w:sz w:val="20"/>
                                <w:lang w:val="en-US"/>
                              </w:rPr>
                              <w:t xml:space="preserve">Fig. </w:t>
                            </w:r>
                            <w:r w:rsidRPr="00F312BC">
                              <w:rPr>
                                <w:sz w:val="20"/>
                              </w:rPr>
                              <w:fldChar w:fldCharType="begin"/>
                            </w:r>
                            <w:r w:rsidRPr="009E5C79">
                              <w:rPr>
                                <w:sz w:val="20"/>
                                <w:lang w:val="en-US"/>
                              </w:rPr>
                              <w:instrText xml:space="preserve"> SEQ Fig. \* ARABIC </w:instrText>
                            </w:r>
                            <w:r w:rsidRPr="00F312BC">
                              <w:rPr>
                                <w:sz w:val="20"/>
                              </w:rPr>
                              <w:fldChar w:fldCharType="separate"/>
                            </w:r>
                            <w:r w:rsidR="001315EA">
                              <w:rPr>
                                <w:noProof/>
                                <w:sz w:val="20"/>
                                <w:lang w:val="en-US"/>
                              </w:rPr>
                              <w:t>1</w:t>
                            </w:r>
                            <w:r w:rsidRPr="00F312BC">
                              <w:rPr>
                                <w:sz w:val="20"/>
                              </w:rPr>
                              <w:fldChar w:fldCharType="end"/>
                            </w:r>
                            <w:bookmarkEnd w:id="0"/>
                            <w:r w:rsidRPr="009E5C79">
                              <w:rPr>
                                <w:sz w:val="20"/>
                                <w:lang w:val="en-US"/>
                              </w:rPr>
                              <w:t xml:space="preserve">: </w:t>
                            </w:r>
                            <w:r>
                              <w:rPr>
                                <w:sz w:val="20"/>
                                <w:lang w:val="en-US"/>
                              </w:rPr>
                              <w:t>Frequency content limitation for the Italian railway system known as “</w:t>
                            </w:r>
                            <w:proofErr w:type="spellStart"/>
                            <w:r>
                              <w:rPr>
                                <w:sz w:val="20"/>
                                <w:lang w:val="en-US"/>
                              </w:rPr>
                              <w:t>Maschera</w:t>
                            </w:r>
                            <w:proofErr w:type="spellEnd"/>
                            <w:r>
                              <w:rPr>
                                <w:sz w:val="20"/>
                                <w:lang w:val="en-US"/>
                              </w:rPr>
                              <w:t xml:space="preserve"> FS”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CAAF27F" id="_x0000_t202" coordsize="21600,21600" o:spt="202" path="m,l,21600r21600,l21600,xe">
                <v:stroke joinstyle="miter"/>
                <v:path gradientshapeok="t" o:connecttype="rect"/>
              </v:shapetype>
              <v:shape id="Text Box 14" o:spid="_x0000_s1026" type="#_x0000_t202" style="position:absolute;left:0;text-align:left;margin-left:249.6pt;margin-top:0;width:232.4pt;height:163.1pt;z-index:251663872;visibility:visible;mso-wrap-style:square;mso-width-percent:0;mso-height-percent:0;mso-wrap-distance-left:9pt;mso-wrap-distance-top:0;mso-wrap-distance-right:9pt;mso-wrap-distance-bottom:0;mso-position-horizontal:absolute;mso-position-horizontal-relative:margin;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" stroked="f">
                <v:textbox>
                  <w:txbxContent>
                    <w:p w14:paraId="58AC9E9E" w14:textId="6FC1E445" w:rsidR="001E2C53" w:rsidRDefault="00E54E5B" w:rsidP="00E54E5B">
                      <w:pPr>
                        <w:keepNext/>
                        <w:ind w:left="-142"/>
                        <w:jc w:val="center"/>
                      </w:pPr>
                      <w:r>
                        <w:rPr>
                          <w:noProof/>
                          <w:lang w:eastAsia="it-IT" w:bidi="ar-SA"/>
                        </w:rPr>
                        <w:drawing>
                          <wp:inline distT="0" distB="0" distL="0" distR="0" wp14:anchorId="7C5F1696" wp14:editId="30DAB08C">
                            <wp:extent cx="2695630" cy="1592028"/>
                            <wp:effectExtent l="0" t="0" r="0" b="8255"/>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maschera.PNG"/>
                                    <pic:cNvPicPr/>
                                  </pic:nvPicPr>
                                  <pic:blipFill>
                                    <a:blip r:embed="rId10">
                                      <a:extLst>
                                        <a:ext uri="{28A0092B-C50C-407E-A947-70E740481C1C}">
                                          <a14:useLocalDpi xmlns:a14="http://schemas.microsoft.com/office/drawing/2010/main" val="0"/>
                                        </a:ext>
                                      </a:extLst>
                                    </a:blip>
                                    <a:stretch>
                                      <a:fillRect/>
                                    </a:stretch>
                                  </pic:blipFill>
                                  <pic:spPr>
                                    <a:xfrm>
                                      <a:off x="0" y="0"/>
                                      <a:ext cx="2699565" cy="1594352"/>
                                    </a:xfrm>
                                    <a:prstGeom prst="rect">
                                      <a:avLst/>
                                    </a:prstGeom>
                                  </pic:spPr>
                                </pic:pic>
                              </a:graphicData>
                            </a:graphic>
                          </wp:inline>
                        </w:drawing>
                      </w:r>
                    </w:p>
                    <w:p w14:paraId="714DEC1C" w14:textId="278BB4B1" w:rsidR="001E2C53" w:rsidRPr="009E5C79" w:rsidRDefault="001E2C53" w:rsidP="001E2C53">
                      <w:pPr>
                        <w:pStyle w:val="Didascalia"/>
                        <w:rPr>
                          <w:lang w:val="en-US"/>
                        </w:rPr>
                      </w:pPr>
                      <w:bookmarkStart w:id="1" w:name="_Ref36045510"/>
                      <w:r w:rsidRPr="009E5C79">
                        <w:rPr>
                          <w:sz w:val="20"/>
                          <w:lang w:val="en-US"/>
                        </w:rPr>
                        <w:t xml:space="preserve">Fig. </w:t>
                      </w:r>
                      <w:r w:rsidRPr="00F312BC">
                        <w:rPr>
                          <w:sz w:val="20"/>
                        </w:rPr>
                        <w:fldChar w:fldCharType="begin"/>
                      </w:r>
                      <w:r w:rsidRPr="009E5C79">
                        <w:rPr>
                          <w:sz w:val="20"/>
                          <w:lang w:val="en-US"/>
                        </w:rPr>
                        <w:instrText xml:space="preserve"> SEQ Fig. \* ARABIC </w:instrText>
                      </w:r>
                      <w:r w:rsidRPr="00F312BC">
                        <w:rPr>
                          <w:sz w:val="20"/>
                        </w:rPr>
                        <w:fldChar w:fldCharType="separate"/>
                      </w:r>
                      <w:r w:rsidR="001315EA">
                        <w:rPr>
                          <w:noProof/>
                          <w:sz w:val="20"/>
                          <w:lang w:val="en-US"/>
                        </w:rPr>
                        <w:t>1</w:t>
                      </w:r>
                      <w:r w:rsidRPr="00F312BC">
                        <w:rPr>
                          <w:sz w:val="20"/>
                        </w:rPr>
                        <w:fldChar w:fldCharType="end"/>
                      </w:r>
                      <w:bookmarkEnd w:id="1"/>
                      <w:r w:rsidRPr="009E5C79">
                        <w:rPr>
                          <w:sz w:val="20"/>
                          <w:lang w:val="en-US"/>
                        </w:rPr>
                        <w:t xml:space="preserve">: </w:t>
                      </w:r>
                      <w:r>
                        <w:rPr>
                          <w:sz w:val="20"/>
                          <w:lang w:val="en-US"/>
                        </w:rPr>
                        <w:t>Frequency content limitation for the Italian railway system known as “</w:t>
                      </w:r>
                      <w:proofErr w:type="spellStart"/>
                      <w:r>
                        <w:rPr>
                          <w:sz w:val="20"/>
                          <w:lang w:val="en-US"/>
                        </w:rPr>
                        <w:t>Maschera</w:t>
                      </w:r>
                      <w:proofErr w:type="spellEnd"/>
                      <w:r>
                        <w:rPr>
                          <w:sz w:val="20"/>
                          <w:lang w:val="en-US"/>
                        </w:rPr>
                        <w:t xml:space="preserve"> FS”</w:t>
                      </w:r>
                    </w:p>
                  </w:txbxContent>
                </v:textbox>
                <w10:wrap type="square" anchorx="margin" anchory="margin"/>
              </v:shape>
            </w:pict>
          </mc:Fallback>
        </mc:AlternateContent>
      </w:r>
      <w:r w:rsidRPr="00597FCF">
        <w:rPr>
          <w:sz w:val="20"/>
          <w:lang w:val="en-US"/>
        </w:rPr>
        <w:t>and impedance</w:t>
      </w:r>
      <w:r w:rsidR="00010151" w:rsidRPr="00597FCF">
        <w:rPr>
          <w:sz w:val="20"/>
          <w:lang w:val="en-US"/>
        </w:rPr>
        <w:t xml:space="preserve"> </w:t>
      </w:r>
      <w:r w:rsidRPr="00597FCF">
        <w:rPr>
          <w:sz w:val="20"/>
          <w:lang w:val="en-US"/>
        </w:rPr>
        <w:t>monitoring</w:t>
      </w:r>
      <w:r w:rsidR="00010151" w:rsidRPr="00597FCF">
        <w:rPr>
          <w:sz w:val="20"/>
          <w:lang w:val="en-US"/>
        </w:rPr>
        <w:t xml:space="preserve"> systems that involves the voltage and current transducers the acquisition system and the detection algorithms in presence of multiple power quality events. A</w:t>
      </w:r>
      <w:r w:rsidRPr="00597FCF">
        <w:rPr>
          <w:sz w:val="20"/>
          <w:lang w:val="en-US"/>
        </w:rPr>
        <w:t>n overview of railway DC power quality definitions</w:t>
      </w:r>
      <w:r w:rsidR="00EA34FB" w:rsidRPr="00597FCF">
        <w:rPr>
          <w:sz w:val="20"/>
          <w:lang w:val="en-US"/>
        </w:rPr>
        <w:t xml:space="preserve"> is provided in Section II; Section II</w:t>
      </w:r>
      <w:r w:rsidR="00896D4C" w:rsidRPr="00597FCF">
        <w:rPr>
          <w:sz w:val="20"/>
          <w:lang w:val="en-US"/>
        </w:rPr>
        <w:t>I</w:t>
      </w:r>
      <w:r w:rsidRPr="00597FCF">
        <w:rPr>
          <w:sz w:val="20"/>
          <w:lang w:val="en-US"/>
        </w:rPr>
        <w:t xml:space="preserve"> </w:t>
      </w:r>
      <w:r w:rsidR="00EA34FB" w:rsidRPr="00597FCF">
        <w:rPr>
          <w:sz w:val="20"/>
          <w:lang w:val="en-US"/>
        </w:rPr>
        <w:t>describes all the technical solutions adopted</w:t>
      </w:r>
      <w:r w:rsidR="00010151" w:rsidRPr="00597FCF">
        <w:rPr>
          <w:sz w:val="20"/>
          <w:lang w:val="en-US"/>
        </w:rPr>
        <w:t xml:space="preserve"> </w:t>
      </w:r>
      <w:r w:rsidR="00896D4C" w:rsidRPr="00597FCF">
        <w:rPr>
          <w:sz w:val="20"/>
          <w:lang w:val="en-US"/>
        </w:rPr>
        <w:t>it the setting up of</w:t>
      </w:r>
      <w:r w:rsidR="00EA34FB" w:rsidRPr="00597FCF">
        <w:rPr>
          <w:sz w:val="20"/>
          <w:lang w:val="en-US"/>
        </w:rPr>
        <w:t xml:space="preserve"> </w:t>
      </w:r>
      <w:r w:rsidR="00010151" w:rsidRPr="00597FCF">
        <w:rPr>
          <w:sz w:val="20"/>
          <w:lang w:val="en-US"/>
        </w:rPr>
        <w:t xml:space="preserve">the </w:t>
      </w:r>
      <w:r w:rsidR="00EA34FB" w:rsidRPr="00597FCF">
        <w:rPr>
          <w:sz w:val="20"/>
          <w:lang w:val="en-US"/>
        </w:rPr>
        <w:t xml:space="preserve">reference </w:t>
      </w:r>
      <w:r w:rsidR="00010151" w:rsidRPr="00597FCF">
        <w:rPr>
          <w:sz w:val="20"/>
          <w:lang w:val="en-US"/>
        </w:rPr>
        <w:t>generation system. Section I</w:t>
      </w:r>
      <w:r w:rsidR="00866FFC" w:rsidRPr="00597FCF">
        <w:rPr>
          <w:sz w:val="20"/>
          <w:lang w:val="en-US"/>
        </w:rPr>
        <w:t>V</w:t>
      </w:r>
      <w:r w:rsidR="00010151" w:rsidRPr="00597FCF">
        <w:rPr>
          <w:sz w:val="20"/>
          <w:lang w:val="en-US"/>
        </w:rPr>
        <w:t xml:space="preserve"> </w:t>
      </w:r>
      <w:r w:rsidR="00184130" w:rsidRPr="00597FCF">
        <w:rPr>
          <w:sz w:val="20"/>
          <w:lang w:val="en-US"/>
        </w:rPr>
        <w:t>provides an overview of</w:t>
      </w:r>
      <w:r w:rsidR="00010151" w:rsidRPr="00597FCF">
        <w:rPr>
          <w:sz w:val="20"/>
          <w:lang w:val="en-US"/>
        </w:rPr>
        <w:t xml:space="preserve"> the possible voltage and current waveforms and associated power quality events which can be generated. </w:t>
      </w:r>
    </w:p>
    <w:p w14:paraId="7BC92FF3" w14:textId="77777777" w:rsidR="00184130" w:rsidRPr="00597FCF" w:rsidRDefault="00184130">
      <w:pPr>
        <w:pStyle w:val="Sectionheading"/>
        <w:rPr>
          <w:lang w:val="en-US"/>
        </w:rPr>
      </w:pPr>
      <w:r w:rsidRPr="00597FCF">
        <w:rPr>
          <w:lang w:val="en-US"/>
        </w:rPr>
        <w:t>PQ according to standards</w:t>
      </w:r>
    </w:p>
    <w:p w14:paraId="70417071" w14:textId="243EA4AE" w:rsidR="009C09BD" w:rsidRPr="00597FCF" w:rsidRDefault="0087782C" w:rsidP="00303C30">
      <w:pPr>
        <w:pStyle w:val="Sectionheading"/>
        <w:numPr>
          <w:ilvl w:val="0"/>
          <w:numId w:val="0"/>
        </w:numPr>
        <w:spacing w:before="0" w:after="0"/>
        <w:ind w:firstLine="170"/>
        <w:jc w:val="both"/>
        <w:rPr>
          <w:caps w:val="0"/>
          <w:kern w:val="0"/>
          <w:lang w:val="en-US"/>
        </w:rPr>
      </w:pPr>
      <w:r w:rsidRPr="00597FCF">
        <w:rPr>
          <w:noProof/>
          <w:lang w:eastAsia="it-IT" w:bidi="ar-SA"/>
        </w:rPr>
        <mc:AlternateContent>
          <mc:Choice Requires="wps">
            <w:drawing>
              <wp:anchor distT="45720" distB="45720" distL="114300" distR="114300" simplePos="0" relativeHeight="251661824" behindDoc="0" locked="0" layoutInCell="1" allowOverlap="1" wp14:anchorId="6CE356DA" wp14:editId="295E7806">
                <wp:simplePos x="0" y="0"/>
                <wp:positionH relativeFrom="column">
                  <wp:posOffset>70485</wp:posOffset>
                </wp:positionH>
                <wp:positionV relativeFrom="margin">
                  <wp:align>top</wp:align>
                </wp:positionV>
                <wp:extent cx="2862000" cy="2044800"/>
                <wp:effectExtent l="0" t="0" r="0" b="0"/>
                <wp:wrapSquare wrapText="bothSides"/>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62000" cy="2044800"/>
                        </a:xfrm>
                        <a:prstGeom prst="rect">
                          <a:avLst/>
                        </a:prstGeom>
                        <a:solidFill>
                          <a:srgbClr val="FFFFFF"/>
                        </a:solidFill>
                        <a:ln w="9525">
                          <a:noFill/>
                          <a:miter lim="800000"/>
                          <a:headEnd/>
                          <a:tailEnd/>
                        </a:ln>
                      </wps:spPr>
                      <wps:txbx>
                        <w:txbxContent>
                          <w:p w14:paraId="35C19333" w14:textId="77777777" w:rsidR="007C75A6" w:rsidRDefault="0087782C" w:rsidP="007C75A6">
                            <w:pPr>
                              <w:jc w:val="center"/>
                            </w:pPr>
                            <w:r>
                              <w:rPr>
                                <w:noProof/>
                                <w:lang w:eastAsia="it-IT" w:bidi="ar-SA"/>
                              </w:rPr>
                              <w:drawing>
                                <wp:inline distT="0" distB="0" distL="0" distR="0" wp14:anchorId="2357DD82" wp14:editId="7CD995AC">
                                  <wp:extent cx="2321560" cy="1642110"/>
                                  <wp:effectExtent l="0" t="0" r="0" b="0"/>
                                  <wp:docPr id="2" name="Picture 33" descr="C:\Users\dsign\Documents\imeko_2020\overvoltag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dsign\Documents\imeko_2020\overvoltage.tif"/>
                                          <pic:cNvPicPr>
                                            <a:picLocks noChangeAspect="1" noChangeArrowheads="1"/>
                                          </pic:cNvPicPr>
                                        </pic:nvPicPr>
                                        <pic:blipFill>
                                          <a:blip r:embed="rId11">
                                            <a:extLst>
                                              <a:ext uri="{28A0092B-C50C-407E-A947-70E740481C1C}">
                                                <a14:useLocalDpi xmlns:a14="http://schemas.microsoft.com/office/drawing/2010/main" val="0"/>
                                              </a:ext>
                                            </a:extLst>
                                          </a:blip>
                                          <a:srcRect t="6500" b="1216"/>
                                          <a:stretch>
                                            <a:fillRect/>
                                          </a:stretch>
                                        </pic:blipFill>
                                        <pic:spPr bwMode="auto">
                                          <a:xfrm>
                                            <a:off x="0" y="0"/>
                                            <a:ext cx="2321560" cy="1642110"/>
                                          </a:xfrm>
                                          <a:prstGeom prst="rect">
                                            <a:avLst/>
                                          </a:prstGeom>
                                          <a:noFill/>
                                          <a:ln>
                                            <a:noFill/>
                                          </a:ln>
                                        </pic:spPr>
                                      </pic:pic>
                                    </a:graphicData>
                                  </a:graphic>
                                </wp:inline>
                              </w:drawing>
                            </w:r>
                          </w:p>
                          <w:p w14:paraId="5E38E776" w14:textId="390AEC2D" w:rsidR="007C75A6" w:rsidRPr="007C75A6" w:rsidRDefault="007C75A6" w:rsidP="007C75A6">
                            <w:pPr>
                              <w:rPr>
                                <w:i/>
                                <w:lang w:val="en-US"/>
                              </w:rPr>
                            </w:pPr>
                            <w:bookmarkStart w:id="1" w:name="_Ref36045477"/>
                            <w:r w:rsidRPr="007C75A6">
                              <w:rPr>
                                <w:i/>
                                <w:sz w:val="20"/>
                                <w:lang w:val="en-US"/>
                              </w:rPr>
                              <w:t xml:space="preserve">Fig. </w:t>
                            </w:r>
                            <w:r w:rsidRPr="007C75A6">
                              <w:rPr>
                                <w:i/>
                                <w:sz w:val="20"/>
                              </w:rPr>
                              <w:fldChar w:fldCharType="begin"/>
                            </w:r>
                            <w:r w:rsidRPr="007C75A6">
                              <w:rPr>
                                <w:i/>
                                <w:sz w:val="20"/>
                                <w:lang w:val="en-US"/>
                              </w:rPr>
                              <w:instrText xml:space="preserve"> SEQ Fig. \* ARABIC </w:instrText>
                            </w:r>
                            <w:r w:rsidRPr="007C75A6">
                              <w:rPr>
                                <w:i/>
                                <w:sz w:val="20"/>
                              </w:rPr>
                              <w:fldChar w:fldCharType="separate"/>
                            </w:r>
                            <w:r w:rsidR="001315EA">
                              <w:rPr>
                                <w:i/>
                                <w:noProof/>
                                <w:sz w:val="20"/>
                                <w:lang w:val="en-US"/>
                              </w:rPr>
                              <w:t>2</w:t>
                            </w:r>
                            <w:r w:rsidRPr="007C75A6">
                              <w:rPr>
                                <w:i/>
                                <w:sz w:val="20"/>
                              </w:rPr>
                              <w:fldChar w:fldCharType="end"/>
                            </w:r>
                            <w:bookmarkEnd w:id="1"/>
                            <w:r w:rsidRPr="007C75A6">
                              <w:rPr>
                                <w:i/>
                                <w:sz w:val="20"/>
                                <w:lang w:val="en-US"/>
                              </w:rPr>
                              <w:t xml:space="preserve">: </w:t>
                            </w:r>
                            <w:r>
                              <w:rPr>
                                <w:i/>
                                <w:sz w:val="20"/>
                                <w:lang w:val="en-US"/>
                              </w:rPr>
                              <w:t>Admissible overvoltage as a function of the time duration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CE356DA" id="Text Box 2" o:spid="_x0000_s1027" type="#_x0000_t202" style="position:absolute;left:0;text-align:left;margin-left:5.55pt;margin-top:0;width:225.35pt;height:161pt;z-index:251661824;visibility:visible;mso-wrap-style:square;mso-width-percent:0;mso-height-percent:0;mso-wrap-distance-left:9pt;mso-wrap-distance-top:3.6pt;mso-wrap-distance-right:9pt;mso-wrap-distance-bottom:3.6pt;mso-position-horizontal:absolute;mso-position-horizontal-relative:text;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" stroked="f">
                <v:textbox>
                  <w:txbxContent>
                    <w:p w14:paraId="35C19333" w14:textId="77777777" w:rsidR="007C75A6" w:rsidRDefault="0087782C" w:rsidP="007C75A6">
                      <w:pPr>
                        <w:jc w:val="center"/>
                      </w:pPr>
                      <w:r>
                        <w:rPr>
                          <w:noProof/>
                          <w:lang w:eastAsia="it-IT" w:bidi="ar-SA"/>
                        </w:rPr>
                        <w:drawing>
                          <wp:inline distT="0" distB="0" distL="0" distR="0" wp14:anchorId="2357DD82" wp14:editId="7CD995AC">
                            <wp:extent cx="2321560" cy="1642110"/>
                            <wp:effectExtent l="0" t="0" r="0" b="0"/>
                            <wp:docPr id="2" name="Picture 33" descr="C:\Users\dsign\Documents\imeko_2020\overvoltag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dsign\Documents\imeko_2020\overvoltage.tif"/>
                                    <pic:cNvPicPr>
                                      <a:picLocks noChangeAspect="1" noChangeArrowheads="1"/>
                                    </pic:cNvPicPr>
                                  </pic:nvPicPr>
                                  <pic:blipFill>
                                    <a:blip r:embed="rId12">
                                      <a:extLst>
                                        <a:ext uri="{28A0092B-C50C-407E-A947-70E740481C1C}">
                                          <a14:useLocalDpi xmlns:a14="http://schemas.microsoft.com/office/drawing/2010/main" val="0"/>
                                        </a:ext>
                                      </a:extLst>
                                    </a:blip>
                                    <a:srcRect t="6500" b="1216"/>
                                    <a:stretch>
                                      <a:fillRect/>
                                    </a:stretch>
                                  </pic:blipFill>
                                  <pic:spPr bwMode="auto">
                                    <a:xfrm>
                                      <a:off x="0" y="0"/>
                                      <a:ext cx="2321560" cy="1642110"/>
                                    </a:xfrm>
                                    <a:prstGeom prst="rect">
                                      <a:avLst/>
                                    </a:prstGeom>
                                    <a:noFill/>
                                    <a:ln>
                                      <a:noFill/>
                                    </a:ln>
                                  </pic:spPr>
                                </pic:pic>
                              </a:graphicData>
                            </a:graphic>
                          </wp:inline>
                        </w:drawing>
                      </w:r>
                    </w:p>
                    <w:p w14:paraId="5E38E776" w14:textId="390AEC2D" w:rsidR="007C75A6" w:rsidRPr="007C75A6" w:rsidRDefault="007C75A6" w:rsidP="007C75A6">
                      <w:pPr>
                        <w:rPr>
                          <w:i/>
                          <w:lang w:val="en-US"/>
                        </w:rPr>
                      </w:pPr>
                      <w:bookmarkStart w:id="3" w:name="_Ref36045477"/>
                      <w:r w:rsidRPr="007C75A6">
                        <w:rPr>
                          <w:i/>
                          <w:sz w:val="20"/>
                          <w:lang w:val="en-US"/>
                        </w:rPr>
                        <w:t xml:space="preserve">Fig. </w:t>
                      </w:r>
                      <w:r w:rsidRPr="007C75A6">
                        <w:rPr>
                          <w:i/>
                          <w:sz w:val="20"/>
                        </w:rPr>
                        <w:fldChar w:fldCharType="begin"/>
                      </w:r>
                      <w:r w:rsidRPr="007C75A6">
                        <w:rPr>
                          <w:i/>
                          <w:sz w:val="20"/>
                          <w:lang w:val="en-US"/>
                        </w:rPr>
                        <w:instrText xml:space="preserve"> SEQ Fig. \* ARABIC </w:instrText>
                      </w:r>
                      <w:r w:rsidRPr="007C75A6">
                        <w:rPr>
                          <w:i/>
                          <w:sz w:val="20"/>
                        </w:rPr>
                        <w:fldChar w:fldCharType="separate"/>
                      </w:r>
                      <w:r w:rsidR="001315EA">
                        <w:rPr>
                          <w:i/>
                          <w:noProof/>
                          <w:sz w:val="20"/>
                          <w:lang w:val="en-US"/>
                        </w:rPr>
                        <w:t>2</w:t>
                      </w:r>
                      <w:r w:rsidRPr="007C75A6">
                        <w:rPr>
                          <w:i/>
                          <w:sz w:val="20"/>
                        </w:rPr>
                        <w:fldChar w:fldCharType="end"/>
                      </w:r>
                      <w:bookmarkEnd w:id="3"/>
                      <w:r w:rsidRPr="007C75A6">
                        <w:rPr>
                          <w:i/>
                          <w:sz w:val="20"/>
                          <w:lang w:val="en-US"/>
                        </w:rPr>
                        <w:t xml:space="preserve">: </w:t>
                      </w:r>
                      <w:r>
                        <w:rPr>
                          <w:i/>
                          <w:sz w:val="20"/>
                          <w:lang w:val="en-US"/>
                        </w:rPr>
                        <w:t>Admissible overvoltage as a function of the time duration</w:t>
                      </w:r>
                    </w:p>
                  </w:txbxContent>
                </v:textbox>
                <w10:wrap type="square" anchory="margin"/>
              </v:shape>
            </w:pict>
          </mc:Fallback>
        </mc:AlternateContent>
      </w:r>
      <w:r w:rsidR="00896D4C" w:rsidRPr="00597FCF">
        <w:rPr>
          <w:caps w:val="0"/>
          <w:kern w:val="0"/>
          <w:lang w:val="en-US"/>
        </w:rPr>
        <w:t xml:space="preserve">Before starting with the description of the reference generation system, an overview on the in-force standards is provided in order to clarify the choices related to the generation capabilities of the proposed system. </w:t>
      </w:r>
      <w:r w:rsidR="00303C30" w:rsidRPr="00597FCF">
        <w:rPr>
          <w:caps w:val="0"/>
          <w:kern w:val="0"/>
          <w:lang w:val="en-US"/>
        </w:rPr>
        <w:t>The main characteristics of the supply voltage traction system at European lev</w:t>
      </w:r>
      <w:r w:rsidR="006A17DD" w:rsidRPr="00597FCF">
        <w:rPr>
          <w:caps w:val="0"/>
          <w:kern w:val="0"/>
          <w:lang w:val="en-US"/>
        </w:rPr>
        <w:t>el are declared by</w:t>
      </w:r>
      <w:r w:rsidR="00672C9E" w:rsidRPr="00597FCF">
        <w:rPr>
          <w:caps w:val="0"/>
          <w:kern w:val="0"/>
          <w:lang w:val="en-US"/>
        </w:rPr>
        <w:t xml:space="preserve"> </w:t>
      </w:r>
      <w:r w:rsidR="00672C9E" w:rsidRPr="00597FCF">
        <w:rPr>
          <w:caps w:val="0"/>
          <w:kern w:val="0"/>
          <w:lang w:val="en-US"/>
        </w:rPr>
        <w:fldChar w:fldCharType="begin"/>
      </w:r>
      <w:r w:rsidR="00672C9E" w:rsidRPr="00597FCF">
        <w:rPr>
          <w:caps w:val="0"/>
          <w:kern w:val="0"/>
          <w:lang w:val="en-US"/>
        </w:rPr>
        <w:instrText xml:space="preserve"> REF _Ref38973002 \r \h </w:instrText>
      </w:r>
      <w:r w:rsidR="00597FCF">
        <w:rPr>
          <w:caps w:val="0"/>
          <w:kern w:val="0"/>
          <w:lang w:val="en-US"/>
        </w:rPr>
        <w:instrText xml:space="preserve"> \* MERGEFORMAT </w:instrText>
      </w:r>
      <w:r w:rsidR="00672C9E" w:rsidRPr="00597FCF">
        <w:rPr>
          <w:caps w:val="0"/>
          <w:kern w:val="0"/>
          <w:lang w:val="en-US"/>
        </w:rPr>
      </w:r>
      <w:r w:rsidR="00672C9E" w:rsidRPr="00597FCF">
        <w:rPr>
          <w:caps w:val="0"/>
          <w:kern w:val="0"/>
          <w:lang w:val="en-US"/>
        </w:rPr>
        <w:fldChar w:fldCharType="separate"/>
      </w:r>
      <w:r w:rsidR="001315EA">
        <w:rPr>
          <w:caps w:val="0"/>
          <w:kern w:val="0"/>
          <w:lang w:val="en-US"/>
        </w:rPr>
        <w:t>[2]</w:t>
      </w:r>
      <w:r w:rsidR="00672C9E" w:rsidRPr="00597FCF">
        <w:rPr>
          <w:caps w:val="0"/>
          <w:kern w:val="0"/>
          <w:lang w:val="en-US"/>
        </w:rPr>
        <w:fldChar w:fldCharType="end"/>
      </w:r>
      <w:r w:rsidR="00D670C4" w:rsidRPr="00597FCF">
        <w:rPr>
          <w:caps w:val="0"/>
          <w:kern w:val="0"/>
          <w:lang w:val="en-US"/>
        </w:rPr>
        <w:t xml:space="preserve">. </w:t>
      </w:r>
      <w:r w:rsidR="003E6FC0" w:rsidRPr="00597FCF">
        <w:rPr>
          <w:caps w:val="0"/>
          <w:kern w:val="0"/>
          <w:lang w:val="en-US"/>
        </w:rPr>
        <w:t xml:space="preserve">The admissible </w:t>
      </w:r>
      <w:r w:rsidR="003C39CB" w:rsidRPr="00597FCF">
        <w:rPr>
          <w:caps w:val="0"/>
          <w:kern w:val="0"/>
          <w:lang w:val="en-US"/>
        </w:rPr>
        <w:t>long-</w:t>
      </w:r>
      <w:r w:rsidR="003E6FC0" w:rsidRPr="00597FCF">
        <w:rPr>
          <w:caps w:val="0"/>
          <w:kern w:val="0"/>
          <w:lang w:val="en-US"/>
        </w:rPr>
        <w:t>term overvoltage, for the 3 kV supply systems</w:t>
      </w:r>
      <w:r w:rsidR="000E0656" w:rsidRPr="00597FCF">
        <w:rPr>
          <w:caps w:val="0"/>
          <w:kern w:val="0"/>
          <w:lang w:val="en-US"/>
        </w:rPr>
        <w:t xml:space="preserve"> is described in </w:t>
      </w:r>
      <w:r w:rsidR="000E0656" w:rsidRPr="00597FCF">
        <w:rPr>
          <w:caps w:val="0"/>
          <w:kern w:val="0"/>
          <w:lang w:val="en-US"/>
        </w:rPr>
        <w:fldChar w:fldCharType="begin"/>
      </w:r>
      <w:r w:rsidR="000E0656" w:rsidRPr="00597FCF">
        <w:rPr>
          <w:caps w:val="0"/>
          <w:kern w:val="0"/>
          <w:lang w:val="en-US"/>
        </w:rPr>
        <w:instrText xml:space="preserve"> REF _Ref36045477 \h </w:instrText>
      </w:r>
      <w:r w:rsidR="00597FCF">
        <w:rPr>
          <w:caps w:val="0"/>
          <w:kern w:val="0"/>
          <w:lang w:val="en-US"/>
        </w:rPr>
        <w:instrText xml:space="preserve"> \* MERGEFORMAT </w:instrText>
      </w:r>
      <w:r w:rsidR="000E0656" w:rsidRPr="00597FCF">
        <w:rPr>
          <w:caps w:val="0"/>
          <w:kern w:val="0"/>
          <w:lang w:val="en-US"/>
        </w:rPr>
      </w:r>
      <w:r w:rsidR="000E0656" w:rsidRPr="00597FCF">
        <w:rPr>
          <w:caps w:val="0"/>
          <w:kern w:val="0"/>
          <w:lang w:val="en-US"/>
        </w:rPr>
        <w:fldChar w:fldCharType="separate"/>
      </w:r>
      <w:r w:rsidR="001315EA" w:rsidRPr="001315EA">
        <w:rPr>
          <w:i/>
          <w:caps w:val="0"/>
          <w:lang w:val="en-US"/>
        </w:rPr>
        <w:t xml:space="preserve">Fig. </w:t>
      </w:r>
      <w:r w:rsidR="001315EA" w:rsidRPr="001315EA">
        <w:rPr>
          <w:i/>
          <w:caps w:val="0"/>
          <w:noProof/>
          <w:lang w:val="en-US"/>
        </w:rPr>
        <w:t>2</w:t>
      </w:r>
      <w:r w:rsidR="000E0656" w:rsidRPr="00597FCF">
        <w:rPr>
          <w:caps w:val="0"/>
          <w:kern w:val="0"/>
          <w:lang w:val="en-US"/>
        </w:rPr>
        <w:fldChar w:fldCharType="end"/>
      </w:r>
      <w:r w:rsidR="003C39CB" w:rsidRPr="00597FCF">
        <w:rPr>
          <w:caps w:val="0"/>
          <w:kern w:val="0"/>
          <w:lang w:val="en-US"/>
        </w:rPr>
        <w:t xml:space="preserve">. </w:t>
      </w:r>
      <w:r w:rsidR="009C09BD" w:rsidRPr="00597FCF">
        <w:rPr>
          <w:caps w:val="0"/>
          <w:kern w:val="0"/>
          <w:lang w:val="en-US"/>
        </w:rPr>
        <w:t>Three different zones</w:t>
      </w:r>
      <w:r w:rsidR="0087007E" w:rsidRPr="00597FCF">
        <w:rPr>
          <w:caps w:val="0"/>
          <w:kern w:val="0"/>
          <w:lang w:val="en-US"/>
        </w:rPr>
        <w:t xml:space="preserve"> have been highlighted; zone </w:t>
      </w:r>
      <w:r w:rsidR="009C09BD" w:rsidRPr="00597FCF">
        <w:rPr>
          <w:i/>
          <w:caps w:val="0"/>
          <w:kern w:val="0"/>
          <w:lang w:val="en-US"/>
        </w:rPr>
        <w:t>C</w:t>
      </w:r>
      <w:r w:rsidR="009C09BD" w:rsidRPr="00597FCF">
        <w:rPr>
          <w:caps w:val="0"/>
          <w:kern w:val="0"/>
          <w:lang w:val="en-US"/>
        </w:rPr>
        <w:t xml:space="preserve">, </w:t>
      </w:r>
      <w:r w:rsidR="009C09BD" w:rsidRPr="00597FCF">
        <w:rPr>
          <w:i/>
          <w:caps w:val="0"/>
          <w:kern w:val="0"/>
          <w:lang w:val="en-US"/>
        </w:rPr>
        <w:t>D</w:t>
      </w:r>
      <w:r w:rsidR="009C09BD" w:rsidRPr="00597FCF">
        <w:rPr>
          <w:caps w:val="0"/>
          <w:kern w:val="0"/>
          <w:lang w:val="en-US"/>
        </w:rPr>
        <w:t xml:space="preserve"> and </w:t>
      </w:r>
      <w:r w:rsidR="009C09BD" w:rsidRPr="00597FCF">
        <w:rPr>
          <w:i/>
          <w:caps w:val="0"/>
          <w:kern w:val="0"/>
          <w:lang w:val="en-US"/>
        </w:rPr>
        <w:t>E</w:t>
      </w:r>
      <w:r w:rsidR="009C09BD" w:rsidRPr="00597FCF">
        <w:rPr>
          <w:caps w:val="0"/>
          <w:kern w:val="0"/>
          <w:lang w:val="en-US"/>
        </w:rPr>
        <w:t xml:space="preserve">. Zone </w:t>
      </w:r>
      <w:r w:rsidR="009C09BD" w:rsidRPr="00597FCF">
        <w:rPr>
          <w:i/>
          <w:caps w:val="0"/>
          <w:kern w:val="0"/>
          <w:lang w:val="en-US"/>
        </w:rPr>
        <w:t>C,</w:t>
      </w:r>
      <w:r w:rsidR="009C09BD" w:rsidRPr="00597FCF">
        <w:rPr>
          <w:caps w:val="0"/>
          <w:kern w:val="0"/>
          <w:lang w:val="en-US"/>
        </w:rPr>
        <w:t xml:space="preserve"> which describes the admissible long-term overvoltage, sta</w:t>
      </w:r>
      <w:r w:rsidR="00672C9E" w:rsidRPr="00597FCF">
        <w:rPr>
          <w:caps w:val="0"/>
          <w:kern w:val="0"/>
          <w:lang w:val="en-US"/>
        </w:rPr>
        <w:t>rt from an event duration of 20 </w:t>
      </w:r>
      <w:proofErr w:type="spellStart"/>
      <w:r w:rsidR="009C09BD" w:rsidRPr="00597FCF">
        <w:rPr>
          <w:caps w:val="0"/>
          <w:kern w:val="0"/>
          <w:lang w:val="en-US"/>
        </w:rPr>
        <w:t>ms</w:t>
      </w:r>
      <w:proofErr w:type="spellEnd"/>
      <w:r w:rsidR="009C09BD" w:rsidRPr="00597FCF">
        <w:rPr>
          <w:caps w:val="0"/>
          <w:kern w:val="0"/>
          <w:lang w:val="en-US"/>
        </w:rPr>
        <w:t xml:space="preserve"> and stops at 1 s. the overvoltage limit </w:t>
      </w:r>
      <w:r w:rsidR="0087007E" w:rsidRPr="00597FCF">
        <w:rPr>
          <w:caps w:val="0"/>
          <w:kern w:val="0"/>
          <w:lang w:val="en-US"/>
        </w:rPr>
        <w:t xml:space="preserve">curve </w:t>
      </w:r>
      <w:r w:rsidR="009C09BD" w:rsidRPr="00597FCF">
        <w:rPr>
          <w:caps w:val="0"/>
          <w:kern w:val="0"/>
          <w:lang w:val="en-US"/>
        </w:rPr>
        <w:t>is defined by the following formula:</w:t>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4"/>
        <w:gridCol w:w="675"/>
      </w:tblGrid>
      <w:tr w:rsidR="00C57919" w:rsidRPr="00597FCF" w14:paraId="04689502" w14:textId="77777777" w:rsidTr="00C57919">
        <w:trPr>
          <w:trHeight w:val="397"/>
        </w:trPr>
        <w:tc>
          <w:tcPr>
            <w:tcW w:w="3964" w:type="dxa"/>
          </w:tcPr>
          <w:p w14:paraId="64CFC86B" w14:textId="77777777" w:rsidR="00C57919" w:rsidRPr="00597FCF" w:rsidRDefault="00C57919" w:rsidP="00303C30">
            <w:pPr>
              <w:pStyle w:val="Sectionheading"/>
              <w:numPr>
                <w:ilvl w:val="0"/>
                <w:numId w:val="0"/>
              </w:numPr>
              <w:spacing w:before="0" w:after="0"/>
              <w:jc w:val="both"/>
              <w:rPr>
                <w:caps w:val="0"/>
                <w:kern w:val="0"/>
                <w:lang w:val="en-US"/>
              </w:rPr>
            </w:pPr>
            <m:oMathPara>
              <m:oMath>
                <m:r>
                  <w:rPr>
                    <w:rFonts w:ascii="Cambria Math" w:hAnsi="Cambria Math"/>
                    <w:lang w:val="en-US"/>
                  </w:rPr>
                  <m:t>U=</m:t>
                </m:r>
                <m:sSub>
                  <m:sSubPr>
                    <m:ctrlPr>
                      <w:rPr>
                        <w:rFonts w:ascii="Cambria Math" w:hAnsi="Cambria Math"/>
                        <w:i/>
                        <w:caps w:val="0"/>
                        <w:kern w:val="0"/>
                        <w:lang w:val="en-US"/>
                      </w:rPr>
                    </m:ctrlPr>
                  </m:sSubPr>
                  <m:e>
                    <m:r>
                      <w:rPr>
                        <w:rFonts w:ascii="Cambria Math" w:hAnsi="Cambria Math"/>
                        <w:lang w:val="en-US"/>
                      </w:rPr>
                      <m:t>U</m:t>
                    </m:r>
                  </m:e>
                  <m:sub>
                    <m:r>
                      <w:rPr>
                        <w:rFonts w:ascii="Cambria Math" w:hAnsi="Cambria Math"/>
                        <w:lang w:val="en-US"/>
                      </w:rPr>
                      <m:t>MAX_2</m:t>
                    </m:r>
                  </m:sub>
                </m:sSub>
                <m:r>
                  <w:rPr>
                    <w:rFonts w:ascii="Cambria Math" w:hAnsi="Cambria Math"/>
                    <w:lang w:val="en-US"/>
                  </w:rPr>
                  <m:t>∙</m:t>
                </m:r>
                <m:sSup>
                  <m:sSupPr>
                    <m:ctrlPr>
                      <w:rPr>
                        <w:rFonts w:ascii="Cambria Math" w:hAnsi="Cambria Math"/>
                        <w:i/>
                        <w:caps w:val="0"/>
                        <w:kern w:val="0"/>
                        <w:lang w:val="en-US"/>
                      </w:rPr>
                    </m:ctrlPr>
                  </m:sSupPr>
                  <m:e>
                    <m:r>
                      <w:rPr>
                        <w:rFonts w:ascii="Cambria Math" w:hAnsi="Cambria Math"/>
                        <w:lang w:val="en-US"/>
                      </w:rPr>
                      <m:t>t</m:t>
                    </m:r>
                  </m:e>
                  <m:sup>
                    <m:r>
                      <w:rPr>
                        <w:rFonts w:ascii="Cambria Math" w:hAnsi="Cambria Math"/>
                        <w:lang w:val="en-US"/>
                      </w:rPr>
                      <m:t>-0.0672</m:t>
                    </m:r>
                  </m:sup>
                </m:sSup>
              </m:oMath>
            </m:oMathPara>
          </w:p>
        </w:tc>
        <w:tc>
          <w:tcPr>
            <w:tcW w:w="675" w:type="dxa"/>
          </w:tcPr>
          <w:p w14:paraId="12488D7C" w14:textId="77777777" w:rsidR="00C57919" w:rsidRPr="00597FCF" w:rsidRDefault="00C57919" w:rsidP="00303C30">
            <w:pPr>
              <w:pStyle w:val="Sectionheading"/>
              <w:numPr>
                <w:ilvl w:val="0"/>
                <w:numId w:val="0"/>
              </w:numPr>
              <w:spacing w:before="0" w:after="0"/>
              <w:jc w:val="both"/>
              <w:rPr>
                <w:caps w:val="0"/>
                <w:kern w:val="0"/>
                <w:lang w:val="en-US"/>
              </w:rPr>
            </w:pPr>
            <w:r w:rsidRPr="00597FCF">
              <w:rPr>
                <w:caps w:val="0"/>
                <w:kern w:val="0"/>
                <w:lang w:val="en-US"/>
              </w:rPr>
              <w:t>(1)</w:t>
            </w:r>
          </w:p>
        </w:tc>
      </w:tr>
    </w:tbl>
    <w:p w14:paraId="3B2921BA" w14:textId="77777777" w:rsidR="007C75A6" w:rsidRPr="00597FCF" w:rsidRDefault="00C57919" w:rsidP="00C57919">
      <w:pPr>
        <w:pStyle w:val="Sectionheading"/>
        <w:numPr>
          <w:ilvl w:val="0"/>
          <w:numId w:val="0"/>
        </w:numPr>
        <w:spacing w:before="0" w:after="0"/>
        <w:ind w:firstLine="170"/>
        <w:jc w:val="both"/>
        <w:rPr>
          <w:caps w:val="0"/>
          <w:kern w:val="0"/>
          <w:lang w:val="en-US"/>
        </w:rPr>
      </w:pPr>
      <w:r w:rsidRPr="00597FCF">
        <w:rPr>
          <w:caps w:val="0"/>
          <w:kern w:val="0"/>
          <w:lang w:val="en-US"/>
        </w:rPr>
        <w:t xml:space="preserve">The quantities </w:t>
      </w:r>
      <w:r w:rsidRPr="00597FCF">
        <w:rPr>
          <w:i/>
          <w:caps w:val="0"/>
          <w:kern w:val="0"/>
          <w:lang w:val="en-US"/>
        </w:rPr>
        <w:t>U</w:t>
      </w:r>
      <w:r w:rsidRPr="00597FCF">
        <w:rPr>
          <w:caps w:val="0"/>
          <w:kern w:val="0"/>
          <w:vertAlign w:val="subscript"/>
          <w:lang w:val="en-US"/>
        </w:rPr>
        <w:t>MAX-1</w:t>
      </w:r>
      <w:r w:rsidRPr="00597FCF">
        <w:rPr>
          <w:caps w:val="0"/>
          <w:kern w:val="0"/>
          <w:lang w:val="en-US"/>
        </w:rPr>
        <w:t xml:space="preserve"> </w:t>
      </w:r>
      <w:r w:rsidRPr="00597FCF">
        <w:rPr>
          <w:i/>
          <w:caps w:val="0"/>
          <w:kern w:val="0"/>
          <w:lang w:val="en-US"/>
        </w:rPr>
        <w:t>U</w:t>
      </w:r>
      <w:r w:rsidRPr="00597FCF">
        <w:rPr>
          <w:caps w:val="0"/>
          <w:kern w:val="0"/>
          <w:vertAlign w:val="subscript"/>
          <w:lang w:val="en-US"/>
        </w:rPr>
        <w:t xml:space="preserve">MAX-2 </w:t>
      </w:r>
      <w:r w:rsidRPr="00597FCF">
        <w:rPr>
          <w:caps w:val="0"/>
          <w:kern w:val="0"/>
          <w:lang w:val="en-US"/>
        </w:rPr>
        <w:t xml:space="preserve">and </w:t>
      </w:r>
      <w:r w:rsidRPr="00597FCF">
        <w:rPr>
          <w:i/>
          <w:caps w:val="0"/>
          <w:kern w:val="0"/>
          <w:lang w:val="en-US"/>
        </w:rPr>
        <w:t>U</w:t>
      </w:r>
      <w:r w:rsidRPr="00597FCF">
        <w:rPr>
          <w:caps w:val="0"/>
          <w:kern w:val="0"/>
          <w:vertAlign w:val="subscript"/>
          <w:lang w:val="en-US"/>
        </w:rPr>
        <w:t xml:space="preserve">MAX-3 </w:t>
      </w:r>
      <w:r w:rsidRPr="00597FCF">
        <w:rPr>
          <w:caps w:val="0"/>
          <w:kern w:val="0"/>
          <w:lang w:val="en-US"/>
        </w:rPr>
        <w:t xml:space="preserve">for a 3 kV supply system </w:t>
      </w:r>
      <w:r w:rsidR="0087007E" w:rsidRPr="00597FCF">
        <w:rPr>
          <w:caps w:val="0"/>
          <w:kern w:val="0"/>
          <w:lang w:val="en-US"/>
        </w:rPr>
        <w:t xml:space="preserve">are </w:t>
      </w:r>
      <w:r w:rsidRPr="00597FCF">
        <w:rPr>
          <w:caps w:val="0"/>
          <w:kern w:val="0"/>
          <w:lang w:val="en-US"/>
        </w:rPr>
        <w:t>equal to 3.6 kV, 3.9 kV and 5.07 kV</w:t>
      </w:r>
      <w:r w:rsidR="0087007E" w:rsidRPr="00597FCF">
        <w:rPr>
          <w:caps w:val="0"/>
          <w:kern w:val="0"/>
          <w:lang w:val="en-US"/>
        </w:rPr>
        <w:t xml:space="preserve"> respectively</w:t>
      </w:r>
      <w:r w:rsidRPr="00597FCF">
        <w:rPr>
          <w:caps w:val="0"/>
          <w:kern w:val="0"/>
          <w:lang w:val="en-US"/>
        </w:rPr>
        <w:t xml:space="preserve">. </w:t>
      </w:r>
      <w:r w:rsidR="00437B8C" w:rsidRPr="00597FCF">
        <w:rPr>
          <w:caps w:val="0"/>
          <w:kern w:val="0"/>
          <w:lang w:val="en-US"/>
        </w:rPr>
        <w:t>For time du</w:t>
      </w:r>
      <w:r w:rsidR="0087007E" w:rsidRPr="00597FCF">
        <w:rPr>
          <w:caps w:val="0"/>
          <w:kern w:val="0"/>
          <w:lang w:val="en-US"/>
        </w:rPr>
        <w:t>ration between 1 second and 300 </w:t>
      </w:r>
      <w:r w:rsidR="00437B8C" w:rsidRPr="00597FCF">
        <w:rPr>
          <w:caps w:val="0"/>
          <w:kern w:val="0"/>
          <w:lang w:val="en-US"/>
        </w:rPr>
        <w:t>second</w:t>
      </w:r>
      <w:r w:rsidR="0087007E" w:rsidRPr="00597FCF">
        <w:rPr>
          <w:caps w:val="0"/>
          <w:kern w:val="0"/>
          <w:lang w:val="en-US"/>
        </w:rPr>
        <w:t>s,</w:t>
      </w:r>
      <w:r w:rsidR="00437B8C" w:rsidRPr="00597FCF">
        <w:rPr>
          <w:caps w:val="0"/>
          <w:kern w:val="0"/>
          <w:lang w:val="en-US"/>
        </w:rPr>
        <w:t xml:space="preserve"> the maximum allowed voltage is 3.9 kV while for higher time duration the overhead contact voltage must not be higher than 3.6 kV. </w:t>
      </w:r>
    </w:p>
    <w:p w14:paraId="33FFB8A9" w14:textId="1452EF95" w:rsidR="0087007E" w:rsidRPr="00597FCF" w:rsidRDefault="00FD677D" w:rsidP="00F428F6">
      <w:pPr>
        <w:pStyle w:val="Bodytextfirst"/>
        <w:rPr>
          <w:lang w:val="en-US"/>
        </w:rPr>
      </w:pPr>
      <w:r w:rsidRPr="00597FCF">
        <w:rPr>
          <w:lang w:val="en-US"/>
        </w:rPr>
        <w:t>For what concern the minimum allowed voltage</w:t>
      </w:r>
      <w:r w:rsidR="0087007E" w:rsidRPr="00597FCF">
        <w:rPr>
          <w:lang w:val="en-US"/>
        </w:rPr>
        <w:t>,</w:t>
      </w:r>
      <w:r w:rsidRPr="00597FCF">
        <w:rPr>
          <w:lang w:val="en-US"/>
        </w:rPr>
        <w:t xml:space="preserve"> only one value is defined for the 3 kV supply system, it is equal to 2 kV and can </w:t>
      </w:r>
      <w:r w:rsidR="0087007E" w:rsidRPr="00597FCF">
        <w:rPr>
          <w:lang w:val="en-US"/>
        </w:rPr>
        <w:t>last</w:t>
      </w:r>
      <w:r w:rsidRPr="00597FCF">
        <w:rPr>
          <w:lang w:val="en-US"/>
        </w:rPr>
        <w:t xml:space="preserve"> </w:t>
      </w:r>
      <w:r w:rsidR="0087007E" w:rsidRPr="00597FCF">
        <w:rPr>
          <w:lang w:val="en-US"/>
        </w:rPr>
        <w:t xml:space="preserve">no more than </w:t>
      </w:r>
      <w:r w:rsidR="006A17DD" w:rsidRPr="00597FCF">
        <w:rPr>
          <w:lang w:val="en-US"/>
        </w:rPr>
        <w:t>2 minutes</w:t>
      </w:r>
      <w:r w:rsidR="00672C9E" w:rsidRPr="00597FCF">
        <w:rPr>
          <w:lang w:val="en-US"/>
        </w:rPr>
        <w:t xml:space="preserve"> </w:t>
      </w:r>
      <w:r w:rsidR="00672C9E" w:rsidRPr="00597FCF">
        <w:rPr>
          <w:lang w:val="en-US"/>
        </w:rPr>
        <w:fldChar w:fldCharType="begin"/>
      </w:r>
      <w:r w:rsidR="00672C9E" w:rsidRPr="00597FCF">
        <w:rPr>
          <w:lang w:val="en-US"/>
        </w:rPr>
        <w:instrText xml:space="preserve"> REF _Ref38973002 \r \h </w:instrText>
      </w:r>
      <w:r w:rsidR="00597FCF">
        <w:rPr>
          <w:lang w:val="en-US"/>
        </w:rPr>
        <w:instrText xml:space="preserve"> \* MERGEFORMAT </w:instrText>
      </w:r>
      <w:r w:rsidR="00672C9E" w:rsidRPr="00597FCF">
        <w:rPr>
          <w:lang w:val="en-US"/>
        </w:rPr>
      </w:r>
      <w:r w:rsidR="00672C9E" w:rsidRPr="00597FCF">
        <w:rPr>
          <w:lang w:val="en-US"/>
        </w:rPr>
        <w:fldChar w:fldCharType="separate"/>
      </w:r>
      <w:r w:rsidR="001315EA">
        <w:rPr>
          <w:lang w:val="en-US"/>
        </w:rPr>
        <w:t>[2]</w:t>
      </w:r>
      <w:r w:rsidR="00672C9E" w:rsidRPr="00597FCF">
        <w:rPr>
          <w:lang w:val="en-US"/>
        </w:rPr>
        <w:fldChar w:fldCharType="end"/>
      </w:r>
      <w:r w:rsidRPr="00597FCF">
        <w:rPr>
          <w:lang w:val="en-US"/>
        </w:rPr>
        <w:t>. For what concern the voltage distortions introduced by harmonics and transient events, nothing is prescribed in the</w:t>
      </w:r>
      <w:r w:rsidR="00672C9E" w:rsidRPr="00597FCF">
        <w:rPr>
          <w:lang w:val="en-US"/>
        </w:rPr>
        <w:t xml:space="preserve"> </w:t>
      </w:r>
      <w:r w:rsidR="00672C9E" w:rsidRPr="00597FCF">
        <w:rPr>
          <w:lang w:val="en-US"/>
        </w:rPr>
        <w:fldChar w:fldCharType="begin"/>
      </w:r>
      <w:r w:rsidR="00672C9E" w:rsidRPr="00597FCF">
        <w:rPr>
          <w:lang w:val="en-US"/>
        </w:rPr>
        <w:instrText xml:space="preserve"> REF _Ref38973002 \r \h </w:instrText>
      </w:r>
      <w:r w:rsidR="00597FCF">
        <w:rPr>
          <w:lang w:val="en-US"/>
        </w:rPr>
        <w:instrText xml:space="preserve"> \* MERGEFORMAT </w:instrText>
      </w:r>
      <w:r w:rsidR="00672C9E" w:rsidRPr="00597FCF">
        <w:rPr>
          <w:lang w:val="en-US"/>
        </w:rPr>
      </w:r>
      <w:r w:rsidR="00672C9E" w:rsidRPr="00597FCF">
        <w:rPr>
          <w:lang w:val="en-US"/>
        </w:rPr>
        <w:fldChar w:fldCharType="separate"/>
      </w:r>
      <w:r w:rsidR="001315EA">
        <w:rPr>
          <w:lang w:val="en-US"/>
        </w:rPr>
        <w:t>[2]</w:t>
      </w:r>
      <w:r w:rsidR="00672C9E" w:rsidRPr="00597FCF">
        <w:rPr>
          <w:lang w:val="en-US"/>
        </w:rPr>
        <w:fldChar w:fldCharType="end"/>
      </w:r>
      <w:r w:rsidRPr="00597FCF">
        <w:rPr>
          <w:lang w:val="en-US"/>
        </w:rPr>
        <w:t xml:space="preserve">. Standard </w:t>
      </w:r>
      <w:r w:rsidR="006A17DD" w:rsidRPr="00597FCF">
        <w:rPr>
          <w:lang w:val="en-US"/>
        </w:rPr>
        <w:fldChar w:fldCharType="begin"/>
      </w:r>
      <w:r w:rsidR="006A17DD" w:rsidRPr="00597FCF">
        <w:rPr>
          <w:lang w:val="en-US"/>
        </w:rPr>
        <w:instrText xml:space="preserve"> REF _Ref36046112 \r \h </w:instrText>
      </w:r>
      <w:r w:rsidR="00597FCF">
        <w:rPr>
          <w:lang w:val="en-US"/>
        </w:rPr>
        <w:instrText xml:space="preserve"> \* MERGEFORMAT </w:instrText>
      </w:r>
      <w:r w:rsidR="006A17DD" w:rsidRPr="00597FCF">
        <w:rPr>
          <w:lang w:val="en-US"/>
        </w:rPr>
      </w:r>
      <w:r w:rsidR="006A17DD" w:rsidRPr="00597FCF">
        <w:rPr>
          <w:lang w:val="en-US"/>
        </w:rPr>
        <w:fldChar w:fldCharType="separate"/>
      </w:r>
      <w:r w:rsidR="001315EA">
        <w:rPr>
          <w:lang w:val="en-US"/>
        </w:rPr>
        <w:t>[3]</w:t>
      </w:r>
      <w:r w:rsidR="006A17DD" w:rsidRPr="00597FCF">
        <w:rPr>
          <w:lang w:val="en-US"/>
        </w:rPr>
        <w:fldChar w:fldCharType="end"/>
      </w:r>
      <w:r w:rsidR="006A17DD" w:rsidRPr="00597FCF">
        <w:rPr>
          <w:lang w:val="en-US"/>
        </w:rPr>
        <w:t xml:space="preserve"> </w:t>
      </w:r>
      <w:r w:rsidRPr="00597FCF">
        <w:rPr>
          <w:lang w:val="en-US"/>
        </w:rPr>
        <w:t>that deal with the compatibility between infrastructure and rolling stock</w:t>
      </w:r>
      <w:r w:rsidR="00AE3D83" w:rsidRPr="00597FCF">
        <w:rPr>
          <w:lang w:val="en-US"/>
        </w:rPr>
        <w:t>, describes the possible overvoltage triggered by distortions due to grid instability</w:t>
      </w:r>
      <w:r w:rsidR="0094711F" w:rsidRPr="00597FCF">
        <w:rPr>
          <w:lang w:val="en-US"/>
        </w:rPr>
        <w:t xml:space="preserve"> or</w:t>
      </w:r>
      <w:r w:rsidR="00AE3D83" w:rsidRPr="00597FCF">
        <w:rPr>
          <w:lang w:val="en-US"/>
        </w:rPr>
        <w:t xml:space="preserve"> harmonics emissions. It has been noted that there is lack of examples for DC systems; all the examples refer to AC supply systems. In conclusions, the analyzed standard does not provide exhaustive information regarding the admissible voltage harmonic content for DC supply systems. </w:t>
      </w:r>
      <w:r w:rsidR="0087007E" w:rsidRPr="00597FCF">
        <w:rPr>
          <w:lang w:val="en-US"/>
        </w:rPr>
        <w:t>The aim of the paper is also to provide examples of events that can affect the quality of the power for DC railway systems.</w:t>
      </w:r>
    </w:p>
    <w:p w14:paraId="745BE7EF" w14:textId="708BACA2" w:rsidR="00AE3D83" w:rsidRPr="00597FCF" w:rsidRDefault="00AE3D83" w:rsidP="00F428F6">
      <w:pPr>
        <w:pStyle w:val="Bodytextfirst"/>
        <w:rPr>
          <w:lang w:val="en-US"/>
        </w:rPr>
      </w:pPr>
      <w:r w:rsidRPr="00597FCF">
        <w:rPr>
          <w:lang w:val="en-US"/>
        </w:rPr>
        <w:t>European National</w:t>
      </w:r>
      <w:r w:rsidR="0087007E" w:rsidRPr="00597FCF">
        <w:rPr>
          <w:lang w:val="en-US"/>
        </w:rPr>
        <w:t xml:space="preserve"> Infrastructure M</w:t>
      </w:r>
      <w:r w:rsidRPr="00597FCF">
        <w:rPr>
          <w:lang w:val="en-US"/>
        </w:rPr>
        <w:t xml:space="preserve">anagers provides prescriptions for the current harmonic emission of rolling stock. Such limitation is introduced in order to reduce the possible disturbances that such harmonics can </w:t>
      </w:r>
      <w:r w:rsidR="001E2C53" w:rsidRPr="00597FCF">
        <w:rPr>
          <w:lang w:val="en-US"/>
        </w:rPr>
        <w:t>induce in the tracks corrupting the signaling information circulating on them.</w:t>
      </w:r>
      <w:r w:rsidRPr="00597FCF">
        <w:rPr>
          <w:lang w:val="en-US"/>
        </w:rPr>
        <w:t xml:space="preserve"> </w:t>
      </w:r>
      <w:r w:rsidR="000E0656" w:rsidRPr="00597FCF">
        <w:rPr>
          <w:lang w:val="en-US"/>
        </w:rPr>
        <w:fldChar w:fldCharType="begin"/>
      </w:r>
      <w:r w:rsidR="000E0656" w:rsidRPr="00597FCF">
        <w:rPr>
          <w:lang w:val="en-US"/>
        </w:rPr>
        <w:instrText xml:space="preserve"> REF _Ref36045510 \h </w:instrText>
      </w:r>
      <w:r w:rsidR="00597FCF">
        <w:rPr>
          <w:lang w:val="en-US"/>
        </w:rPr>
        <w:instrText xml:space="preserve"> \* MERGEFORMAT </w:instrText>
      </w:r>
      <w:r w:rsidR="000E0656" w:rsidRPr="00597FCF">
        <w:rPr>
          <w:lang w:val="en-US"/>
        </w:rPr>
      </w:r>
      <w:r w:rsidR="000E0656" w:rsidRPr="00597FCF">
        <w:rPr>
          <w:lang w:val="en-US"/>
        </w:rPr>
        <w:fldChar w:fldCharType="separate"/>
      </w:r>
      <w:r w:rsidR="001315EA" w:rsidRPr="009E5C79">
        <w:rPr>
          <w:lang w:val="en-US"/>
        </w:rPr>
        <w:t xml:space="preserve">Fig. </w:t>
      </w:r>
      <w:r w:rsidR="001315EA">
        <w:rPr>
          <w:noProof/>
          <w:lang w:val="en-US"/>
        </w:rPr>
        <w:t>1</w:t>
      </w:r>
      <w:r w:rsidR="000E0656" w:rsidRPr="00597FCF">
        <w:rPr>
          <w:lang w:val="en-US"/>
        </w:rPr>
        <w:fldChar w:fldCharType="end"/>
      </w:r>
      <w:r w:rsidRPr="00597FCF">
        <w:rPr>
          <w:lang w:val="en-US"/>
        </w:rPr>
        <w:t xml:space="preserve"> </w:t>
      </w:r>
      <w:r w:rsidR="000E0656" w:rsidRPr="00597FCF">
        <w:rPr>
          <w:lang w:val="en-US"/>
        </w:rPr>
        <w:t>p</w:t>
      </w:r>
      <w:r w:rsidR="001E2C53" w:rsidRPr="00597FCF">
        <w:rPr>
          <w:lang w:val="en-US"/>
        </w:rPr>
        <w:t>rovides an example of current harmonic mask defined by the Italian Railway Infrastructure manager (RFI)</w:t>
      </w:r>
      <w:r w:rsidR="0094711F" w:rsidRPr="00597FCF">
        <w:rPr>
          <w:lang w:val="en-US"/>
        </w:rPr>
        <w:t xml:space="preserve"> </w:t>
      </w:r>
      <w:r w:rsidR="0094711F" w:rsidRPr="00597FCF">
        <w:rPr>
          <w:lang w:val="en-US"/>
        </w:rPr>
        <w:fldChar w:fldCharType="begin"/>
      </w:r>
      <w:r w:rsidR="0094711F" w:rsidRPr="00597FCF">
        <w:rPr>
          <w:lang w:val="en-US"/>
        </w:rPr>
        <w:instrText xml:space="preserve"> REF _Ref36117744 \r \h </w:instrText>
      </w:r>
      <w:r w:rsidR="00597FCF">
        <w:rPr>
          <w:lang w:val="en-US"/>
        </w:rPr>
        <w:instrText xml:space="preserve"> \* MERGEFORMAT </w:instrText>
      </w:r>
      <w:r w:rsidR="0094711F" w:rsidRPr="00597FCF">
        <w:rPr>
          <w:lang w:val="en-US"/>
        </w:rPr>
      </w:r>
      <w:r w:rsidR="0094711F" w:rsidRPr="00597FCF">
        <w:rPr>
          <w:lang w:val="en-US"/>
        </w:rPr>
        <w:fldChar w:fldCharType="separate"/>
      </w:r>
      <w:r w:rsidR="001315EA">
        <w:rPr>
          <w:lang w:val="en-US"/>
        </w:rPr>
        <w:t>[4]</w:t>
      </w:r>
      <w:r w:rsidR="0094711F" w:rsidRPr="00597FCF">
        <w:rPr>
          <w:lang w:val="en-US"/>
        </w:rPr>
        <w:fldChar w:fldCharType="end"/>
      </w:r>
      <w:r w:rsidR="001E2C53" w:rsidRPr="00597FCF">
        <w:rPr>
          <w:lang w:val="en-US"/>
        </w:rPr>
        <w:t xml:space="preserve">. </w:t>
      </w:r>
    </w:p>
    <w:p w14:paraId="04DDB30A" w14:textId="77777777" w:rsidR="00E51DC5" w:rsidRPr="00597FCF" w:rsidRDefault="00B70D6A">
      <w:pPr>
        <w:pStyle w:val="Sectionheading"/>
        <w:rPr>
          <w:lang w:val="en-US"/>
        </w:rPr>
      </w:pPr>
      <w:r w:rsidRPr="00597FCF">
        <w:rPr>
          <w:lang w:val="en-US"/>
        </w:rPr>
        <w:t>Reference generation</w:t>
      </w:r>
      <w:r w:rsidR="0030023E" w:rsidRPr="00597FCF">
        <w:rPr>
          <w:lang w:val="en-US"/>
        </w:rPr>
        <w:t xml:space="preserve"> </w:t>
      </w:r>
      <w:r w:rsidR="00A85049" w:rsidRPr="00597FCF">
        <w:rPr>
          <w:lang w:val="en-US"/>
        </w:rPr>
        <w:t>sy</w:t>
      </w:r>
      <w:r w:rsidRPr="00597FCF">
        <w:rPr>
          <w:lang w:val="en-US"/>
        </w:rPr>
        <w:t>stem</w:t>
      </w:r>
    </w:p>
    <w:p w14:paraId="482A39CF" w14:textId="77777777" w:rsidR="00454761" w:rsidRPr="00597FCF" w:rsidRDefault="00454761" w:rsidP="00334B02">
      <w:pPr>
        <w:pStyle w:val="Subsectionheading"/>
        <w:numPr>
          <w:ilvl w:val="0"/>
          <w:numId w:val="6"/>
        </w:numPr>
        <w:rPr>
          <w:lang w:val="en-US"/>
        </w:rPr>
      </w:pPr>
      <w:r w:rsidRPr="00597FCF">
        <w:rPr>
          <w:lang w:val="en-US"/>
        </w:rPr>
        <w:t>Main characteristics</w:t>
      </w:r>
    </w:p>
    <w:p w14:paraId="16F8965D" w14:textId="4EC14DBB" w:rsidR="00745A42" w:rsidRPr="00597FCF" w:rsidRDefault="00745A42" w:rsidP="00F428F6">
      <w:pPr>
        <w:pStyle w:val="Bodytextfirst"/>
        <w:rPr>
          <w:lang w:val="en-US"/>
        </w:rPr>
      </w:pPr>
      <w:r w:rsidRPr="00597FCF">
        <w:rPr>
          <w:lang w:val="en-US"/>
        </w:rPr>
        <w:t xml:space="preserve">The aim of the generation system is to reproduce the power quality events occurring in a DC 3 kV railway supply system. Thanks to the measurement campaigns carried out within the European Research Project </w:t>
      </w:r>
      <w:proofErr w:type="spellStart"/>
      <w:r w:rsidRPr="00597FCF">
        <w:rPr>
          <w:lang w:val="en-US"/>
        </w:rPr>
        <w:t>MyRailS</w:t>
      </w:r>
      <w:proofErr w:type="spellEnd"/>
      <w:r w:rsidR="00811257" w:rsidRPr="00597FCF">
        <w:rPr>
          <w:lang w:val="en-US"/>
        </w:rPr>
        <w:t xml:space="preserve"> </w:t>
      </w:r>
      <w:r w:rsidR="00811257" w:rsidRPr="00597FCF">
        <w:rPr>
          <w:lang w:val="en-US"/>
        </w:rPr>
        <w:fldChar w:fldCharType="begin"/>
      </w:r>
      <w:r w:rsidR="00811257" w:rsidRPr="00597FCF">
        <w:rPr>
          <w:lang w:val="en-US"/>
        </w:rPr>
        <w:instrText xml:space="preserve"> REF _Ref36046089 \r \h </w:instrText>
      </w:r>
      <w:r w:rsidR="00597FCF">
        <w:rPr>
          <w:lang w:val="en-US"/>
        </w:rPr>
        <w:instrText xml:space="preserve"> \* MERGEFORMAT </w:instrText>
      </w:r>
      <w:r w:rsidR="00811257" w:rsidRPr="00597FCF">
        <w:rPr>
          <w:lang w:val="en-US"/>
        </w:rPr>
      </w:r>
      <w:r w:rsidR="00811257" w:rsidRPr="00597FCF">
        <w:rPr>
          <w:lang w:val="en-US"/>
        </w:rPr>
        <w:fldChar w:fldCharType="separate"/>
      </w:r>
      <w:r w:rsidR="001315EA">
        <w:rPr>
          <w:lang w:val="en-US"/>
        </w:rPr>
        <w:t>[5]</w:t>
      </w:r>
      <w:r w:rsidR="00811257" w:rsidRPr="00597FCF">
        <w:rPr>
          <w:lang w:val="en-US"/>
        </w:rPr>
        <w:fldChar w:fldCharType="end"/>
      </w:r>
      <w:r w:rsidRPr="00597FCF">
        <w:rPr>
          <w:lang w:val="en-US"/>
        </w:rPr>
        <w:t>, a collection of power quality events is available. The generation constraints have been defined thank</w:t>
      </w:r>
      <w:r w:rsidR="00672C9E" w:rsidRPr="00597FCF">
        <w:rPr>
          <w:lang w:val="en-US"/>
        </w:rPr>
        <w:t>s to</w:t>
      </w:r>
      <w:r w:rsidRPr="00597FCF">
        <w:rPr>
          <w:lang w:val="en-US"/>
        </w:rPr>
        <w:t xml:space="preserve"> the above mentioned waveforms and the analysis of railway standards that define some supply voltage characteristics.</w:t>
      </w:r>
    </w:p>
    <w:p w14:paraId="59AD314B" w14:textId="5080BE91" w:rsidR="00454761" w:rsidRPr="00597FCF" w:rsidRDefault="00745A42" w:rsidP="00F428F6">
      <w:pPr>
        <w:pStyle w:val="Bodytextfirst"/>
        <w:rPr>
          <w:lang w:val="en-US"/>
        </w:rPr>
      </w:pPr>
      <w:r w:rsidRPr="00597FCF">
        <w:rPr>
          <w:lang w:val="en-US"/>
        </w:rPr>
        <w:t xml:space="preserve">Table I summarizes the characteristics of the </w:t>
      </w:r>
      <w:r w:rsidR="00454761" w:rsidRPr="00597FCF">
        <w:rPr>
          <w:lang w:val="en-US"/>
        </w:rPr>
        <w:t>reference generation system.</w:t>
      </w:r>
      <w:r w:rsidR="00811257" w:rsidRPr="00597FCF">
        <w:rPr>
          <w:lang w:val="en-US"/>
        </w:rPr>
        <w:t xml:space="preserve"> </w:t>
      </w:r>
    </w:p>
    <w:p w14:paraId="6448FD56" w14:textId="1C00D387" w:rsidR="00454761" w:rsidRPr="00597FCF" w:rsidRDefault="00454761" w:rsidP="00454761">
      <w:pPr>
        <w:pStyle w:val="Didascalia1"/>
        <w:rPr>
          <w:i w:val="0"/>
          <w:iCs w:val="0"/>
          <w:lang w:val="en-US"/>
        </w:rPr>
      </w:pPr>
      <w:r w:rsidRPr="00597FCF">
        <w:rPr>
          <w:lang w:val="en-US"/>
        </w:rPr>
        <w:t xml:space="preserve">Table </w:t>
      </w:r>
      <w:r w:rsidR="00E54E5B" w:rsidRPr="00597FCF">
        <w:rPr>
          <w:lang w:val="en-US"/>
        </w:rPr>
        <w:t>I</w:t>
      </w:r>
      <w:r w:rsidRPr="00597FCF">
        <w:rPr>
          <w:lang w:val="en-US"/>
        </w:rPr>
        <w:t xml:space="preserve">. </w:t>
      </w:r>
      <w:r w:rsidR="000E0656" w:rsidRPr="00597FCF">
        <w:rPr>
          <w:lang w:val="en-US"/>
        </w:rPr>
        <w:t>Generation system facilities</w:t>
      </w:r>
      <w:r w:rsidRPr="00597FCF">
        <w:rPr>
          <w:lang w:val="en-US"/>
        </w:rPr>
        <w:t>.</w:t>
      </w:r>
    </w:p>
    <w:tbl>
      <w:tblPr>
        <w:tblW w:w="0" w:type="auto"/>
        <w:tblInd w:w="284" w:type="dxa"/>
        <w:tblLayout w:type="fixed"/>
        <w:tblCellMar>
          <w:top w:w="55" w:type="dxa"/>
          <w:left w:w="55" w:type="dxa"/>
          <w:bottom w:w="55" w:type="dxa"/>
          <w:right w:w="55" w:type="dxa"/>
        </w:tblCellMar>
        <w:tblLook w:val="0000" w:firstRow="0" w:lastRow="0" w:firstColumn="0" w:lastColumn="0" w:noHBand="0" w:noVBand="0"/>
      </w:tblPr>
      <w:tblGrid>
        <w:gridCol w:w="1984"/>
        <w:gridCol w:w="2240"/>
      </w:tblGrid>
      <w:tr w:rsidR="006A21E3" w:rsidRPr="00597FCF" w14:paraId="1B62745D" w14:textId="77777777" w:rsidTr="006A21E3">
        <w:tc>
          <w:tcPr>
            <w:tcW w:w="1984" w:type="dxa"/>
            <w:tcBorders>
              <w:top w:val="none" w:sz="1" w:space="0" w:color="000000"/>
              <w:bottom w:val="none" w:sz="1" w:space="0" w:color="000000"/>
            </w:tcBorders>
            <w:shd w:val="clear" w:color="auto" w:fill="auto"/>
          </w:tcPr>
          <w:p w14:paraId="5F2BA614" w14:textId="77777777" w:rsidR="006A21E3" w:rsidRPr="00597FCF" w:rsidRDefault="006A21E3" w:rsidP="006A21E3">
            <w:pPr>
              <w:pStyle w:val="Intestazionetabella"/>
              <w:rPr>
                <w:b w:val="0"/>
                <w:bCs w:val="0"/>
                <w:sz w:val="20"/>
                <w:lang w:val="en-US"/>
              </w:rPr>
            </w:pPr>
            <w:r w:rsidRPr="00597FCF">
              <w:rPr>
                <w:b w:val="0"/>
                <w:bCs w:val="0"/>
                <w:sz w:val="20"/>
                <w:lang w:val="en-US"/>
              </w:rPr>
              <w:t>Voltage peak</w:t>
            </w:r>
          </w:p>
        </w:tc>
        <w:tc>
          <w:tcPr>
            <w:tcW w:w="2240" w:type="dxa"/>
            <w:tcBorders>
              <w:top w:val="none" w:sz="1" w:space="0" w:color="000000"/>
              <w:bottom w:val="none" w:sz="1" w:space="0" w:color="000000"/>
            </w:tcBorders>
            <w:shd w:val="clear" w:color="auto" w:fill="auto"/>
          </w:tcPr>
          <w:p w14:paraId="288F454D" w14:textId="77777777" w:rsidR="006A21E3" w:rsidRPr="00597FCF" w:rsidRDefault="006A21E3" w:rsidP="001D4118">
            <w:pPr>
              <w:pStyle w:val="Intestazionetabella"/>
              <w:rPr>
                <w:b w:val="0"/>
                <w:bCs w:val="0"/>
                <w:sz w:val="20"/>
                <w:lang w:val="en-US"/>
              </w:rPr>
            </w:pPr>
            <w:r w:rsidRPr="00597FCF">
              <w:rPr>
                <w:b w:val="0"/>
                <w:bCs w:val="0"/>
                <w:sz w:val="20"/>
                <w:lang w:val="en-US"/>
              </w:rPr>
              <w:t>10 kV</w:t>
            </w:r>
          </w:p>
        </w:tc>
      </w:tr>
      <w:tr w:rsidR="006A21E3" w:rsidRPr="00597FCF" w14:paraId="3E022272" w14:textId="77777777" w:rsidTr="006A21E3">
        <w:tc>
          <w:tcPr>
            <w:tcW w:w="1984" w:type="dxa"/>
            <w:shd w:val="clear" w:color="auto" w:fill="auto"/>
          </w:tcPr>
          <w:p w14:paraId="2B16E203" w14:textId="77777777" w:rsidR="006A21E3" w:rsidRPr="00597FCF" w:rsidRDefault="006A21E3" w:rsidP="001D4118">
            <w:pPr>
              <w:pStyle w:val="Contenutotabella"/>
              <w:jc w:val="center"/>
              <w:rPr>
                <w:sz w:val="20"/>
                <w:lang w:val="en-US"/>
              </w:rPr>
            </w:pPr>
            <w:r w:rsidRPr="00597FCF">
              <w:rPr>
                <w:sz w:val="20"/>
                <w:lang w:val="en-US"/>
              </w:rPr>
              <w:t>Current peak</w:t>
            </w:r>
          </w:p>
        </w:tc>
        <w:tc>
          <w:tcPr>
            <w:tcW w:w="2240" w:type="dxa"/>
            <w:shd w:val="clear" w:color="auto" w:fill="auto"/>
          </w:tcPr>
          <w:p w14:paraId="27E958D8" w14:textId="77777777" w:rsidR="006A21E3" w:rsidRPr="00597FCF" w:rsidRDefault="006A21E3" w:rsidP="001D4118">
            <w:pPr>
              <w:pStyle w:val="Contenutotabella"/>
              <w:jc w:val="center"/>
              <w:rPr>
                <w:sz w:val="20"/>
                <w:lang w:val="en-US"/>
              </w:rPr>
            </w:pPr>
            <w:r w:rsidRPr="00597FCF">
              <w:rPr>
                <w:sz w:val="20"/>
                <w:lang w:val="en-US"/>
              </w:rPr>
              <w:t>1.2 kA</w:t>
            </w:r>
          </w:p>
        </w:tc>
      </w:tr>
      <w:tr w:rsidR="006A21E3" w:rsidRPr="00597FCF" w14:paraId="64ECEFA1" w14:textId="77777777" w:rsidTr="006A21E3">
        <w:tc>
          <w:tcPr>
            <w:tcW w:w="1984" w:type="dxa"/>
            <w:shd w:val="clear" w:color="auto" w:fill="auto"/>
          </w:tcPr>
          <w:p w14:paraId="72F0504B" w14:textId="7FA7B858" w:rsidR="006A21E3" w:rsidRPr="00597FCF" w:rsidRDefault="006A21E3" w:rsidP="005124D6">
            <w:pPr>
              <w:pStyle w:val="Contenutotabella"/>
              <w:jc w:val="center"/>
              <w:rPr>
                <w:sz w:val="20"/>
                <w:lang w:val="en-US"/>
              </w:rPr>
            </w:pPr>
            <w:r w:rsidRPr="00597FCF">
              <w:rPr>
                <w:sz w:val="20"/>
                <w:lang w:val="en-US"/>
              </w:rPr>
              <w:t>Voltage bandwidth</w:t>
            </w:r>
          </w:p>
        </w:tc>
        <w:tc>
          <w:tcPr>
            <w:tcW w:w="2240" w:type="dxa"/>
            <w:shd w:val="clear" w:color="auto" w:fill="auto"/>
          </w:tcPr>
          <w:p w14:paraId="08454822" w14:textId="66A87EE9" w:rsidR="006A21E3" w:rsidRPr="00597FCF" w:rsidRDefault="00F428F6" w:rsidP="001D4118">
            <w:pPr>
              <w:pStyle w:val="Contenutotabella"/>
              <w:jc w:val="center"/>
              <w:rPr>
                <w:sz w:val="20"/>
                <w:lang w:val="en-US"/>
              </w:rPr>
            </w:pPr>
            <w:r w:rsidRPr="00597FCF">
              <w:rPr>
                <w:sz w:val="20"/>
                <w:lang w:val="en-US"/>
              </w:rPr>
              <w:t>DC-</w:t>
            </w:r>
            <w:r w:rsidR="006A21E3" w:rsidRPr="00597FCF">
              <w:rPr>
                <w:sz w:val="20"/>
                <w:lang w:val="en-US"/>
              </w:rPr>
              <w:t>30 kHz</w:t>
            </w:r>
          </w:p>
        </w:tc>
      </w:tr>
      <w:tr w:rsidR="006A21E3" w:rsidRPr="00597FCF" w14:paraId="1C561377" w14:textId="77777777" w:rsidTr="006A21E3">
        <w:tc>
          <w:tcPr>
            <w:tcW w:w="1984" w:type="dxa"/>
            <w:tcBorders>
              <w:bottom w:val="none" w:sz="1" w:space="0" w:color="000000"/>
            </w:tcBorders>
            <w:shd w:val="clear" w:color="auto" w:fill="auto"/>
          </w:tcPr>
          <w:p w14:paraId="70B1E4ED" w14:textId="60581163" w:rsidR="006A21E3" w:rsidRPr="00597FCF" w:rsidRDefault="006A21E3" w:rsidP="005124D6">
            <w:pPr>
              <w:pStyle w:val="Contenutotabella"/>
              <w:jc w:val="center"/>
              <w:rPr>
                <w:sz w:val="20"/>
                <w:lang w:val="en-US"/>
              </w:rPr>
            </w:pPr>
            <w:r w:rsidRPr="00597FCF">
              <w:rPr>
                <w:sz w:val="20"/>
                <w:lang w:val="en-US"/>
              </w:rPr>
              <w:t>Current bandwidth</w:t>
            </w:r>
          </w:p>
        </w:tc>
        <w:tc>
          <w:tcPr>
            <w:tcW w:w="2240" w:type="dxa"/>
            <w:tcBorders>
              <w:bottom w:val="none" w:sz="1" w:space="0" w:color="000000"/>
            </w:tcBorders>
            <w:shd w:val="clear" w:color="auto" w:fill="auto"/>
          </w:tcPr>
          <w:p w14:paraId="73A85872" w14:textId="21D7AEFD" w:rsidR="006A21E3" w:rsidRPr="00597FCF" w:rsidRDefault="00F428F6" w:rsidP="001D4118">
            <w:pPr>
              <w:pStyle w:val="Contenutotabella"/>
              <w:jc w:val="center"/>
              <w:rPr>
                <w:sz w:val="20"/>
                <w:lang w:val="en-US"/>
              </w:rPr>
            </w:pPr>
            <w:r w:rsidRPr="00597FCF">
              <w:rPr>
                <w:sz w:val="20"/>
                <w:lang w:val="en-US"/>
              </w:rPr>
              <w:t>DC-</w:t>
            </w:r>
            <w:r w:rsidR="006A21E3" w:rsidRPr="00597FCF">
              <w:rPr>
                <w:sz w:val="20"/>
                <w:lang w:val="en-US"/>
              </w:rPr>
              <w:t>300 Hz</w:t>
            </w:r>
          </w:p>
        </w:tc>
      </w:tr>
    </w:tbl>
    <w:p w14:paraId="34569FF9" w14:textId="3353F715" w:rsidR="00811257" w:rsidRPr="00597FCF" w:rsidRDefault="00811257" w:rsidP="00811257">
      <w:pPr>
        <w:pStyle w:val="Subsectionheading"/>
        <w:numPr>
          <w:ilvl w:val="0"/>
          <w:numId w:val="0"/>
        </w:numPr>
        <w:jc w:val="both"/>
        <w:rPr>
          <w:i w:val="0"/>
          <w:lang w:val="en-US"/>
        </w:rPr>
      </w:pPr>
      <w:r w:rsidRPr="00597FCF">
        <w:rPr>
          <w:i w:val="0"/>
          <w:lang w:val="en-US"/>
        </w:rPr>
        <w:lastRenderedPageBreak/>
        <w:t>The generation system uncertainty is, obviously, strongly related to the uncertainty of the voltage and current references and the one introduced by the acquisition channels. After a deep characterization in amplitude and frequency, performed at the Italian National Metrology Institute (</w:t>
      </w:r>
      <w:proofErr w:type="spellStart"/>
      <w:r w:rsidRPr="00597FCF">
        <w:rPr>
          <w:i w:val="0"/>
          <w:lang w:val="en-US"/>
        </w:rPr>
        <w:t>INRiM</w:t>
      </w:r>
      <w:proofErr w:type="spellEnd"/>
      <w:r w:rsidRPr="00597FCF">
        <w:rPr>
          <w:i w:val="0"/>
          <w:lang w:val="en-US"/>
        </w:rPr>
        <w:t xml:space="preserve">), the relative uncertainty value in stationary conditions is below 60 </w:t>
      </w:r>
      <w:r w:rsidR="00672C9E" w:rsidRPr="00597FCF">
        <w:rPr>
          <w:rFonts w:cs="Times New Roman"/>
          <w:i w:val="0"/>
          <w:lang w:val="en-US"/>
        </w:rPr>
        <w:t>µ</w:t>
      </w:r>
      <w:r w:rsidRPr="00597FCF">
        <w:rPr>
          <w:i w:val="0"/>
          <w:lang w:val="en-US"/>
        </w:rPr>
        <w:t xml:space="preserve">A/A for the current channel and 120 </w:t>
      </w:r>
      <w:r w:rsidR="00672C9E" w:rsidRPr="00597FCF">
        <w:rPr>
          <w:rFonts w:cs="Times New Roman"/>
          <w:i w:val="0"/>
          <w:lang w:val="en-US"/>
        </w:rPr>
        <w:t>µ</w:t>
      </w:r>
      <w:r w:rsidRPr="00597FCF">
        <w:rPr>
          <w:i w:val="0"/>
          <w:lang w:val="en-US"/>
        </w:rPr>
        <w:t>V/V for the voltage channel. Given the low linearity error of the transducers considered, it can be assumed that for the generation of even fast PQ</w:t>
      </w:r>
      <w:r w:rsidRPr="00597FCF">
        <w:rPr>
          <w:lang w:val="en-US"/>
        </w:rPr>
        <w:t xml:space="preserve"> </w:t>
      </w:r>
      <w:r w:rsidRPr="00597FCF">
        <w:rPr>
          <w:i w:val="0"/>
          <w:lang w:val="en-US"/>
        </w:rPr>
        <w:t>phenomena, the estimate of the relative uncertainty is less than 1%.</w:t>
      </w:r>
    </w:p>
    <w:p w14:paraId="2D356E0F" w14:textId="2593DB73" w:rsidR="00454761" w:rsidRPr="00597FCF" w:rsidRDefault="00454761" w:rsidP="00334B02">
      <w:pPr>
        <w:pStyle w:val="Subsectionheading"/>
        <w:numPr>
          <w:ilvl w:val="0"/>
          <w:numId w:val="6"/>
        </w:numPr>
        <w:rPr>
          <w:lang w:val="en-US"/>
        </w:rPr>
      </w:pPr>
      <w:r w:rsidRPr="00597FCF">
        <w:rPr>
          <w:lang w:val="en-US"/>
        </w:rPr>
        <w:t>The generation setup</w:t>
      </w:r>
    </w:p>
    <w:p w14:paraId="75CC0745" w14:textId="48561AC8" w:rsidR="00A85049" w:rsidRPr="00597FCF" w:rsidRDefault="0030023E" w:rsidP="00F428F6">
      <w:pPr>
        <w:pStyle w:val="Bodytextfirst"/>
        <w:rPr>
          <w:lang w:val="en-US"/>
        </w:rPr>
      </w:pPr>
      <w:r w:rsidRPr="00597FCF">
        <w:rPr>
          <w:lang w:val="en-US"/>
        </w:rPr>
        <w:t>The generation system consists of two units: one for the voltage signal</w:t>
      </w:r>
      <w:r w:rsidR="006452F2" w:rsidRPr="00597FCF">
        <w:rPr>
          <w:lang w:val="en-US"/>
        </w:rPr>
        <w:t xml:space="preserve"> generation</w:t>
      </w:r>
      <w:r w:rsidRPr="00597FCF">
        <w:rPr>
          <w:lang w:val="en-US"/>
        </w:rPr>
        <w:t>, one for the current signal</w:t>
      </w:r>
      <w:r w:rsidR="006452F2" w:rsidRPr="00597FCF">
        <w:rPr>
          <w:lang w:val="en-US"/>
        </w:rPr>
        <w:t xml:space="preserve"> generation</w:t>
      </w:r>
      <w:r w:rsidRPr="00597FCF">
        <w:rPr>
          <w:lang w:val="en-US"/>
        </w:rPr>
        <w:t xml:space="preserve">. The two units have been implemented with PCI </w:t>
      </w:r>
      <w:proofErr w:type="spellStart"/>
      <w:r w:rsidRPr="00597FCF">
        <w:rPr>
          <w:lang w:val="en-US"/>
        </w:rPr>
        <w:t>eXtension</w:t>
      </w:r>
      <w:proofErr w:type="spellEnd"/>
      <w:r w:rsidRPr="00597FCF">
        <w:rPr>
          <w:lang w:val="en-US"/>
        </w:rPr>
        <w:t xml:space="preserve"> for Instrumentation Express(PXIe)chassis, each of w</w:t>
      </w:r>
      <w:r w:rsidR="00AE2176" w:rsidRPr="00597FCF">
        <w:rPr>
          <w:lang w:val="en-US"/>
        </w:rPr>
        <w:t>hich with an arbitrary waveform generator (AWG)</w:t>
      </w:r>
      <w:r w:rsidRPr="00597FCF">
        <w:rPr>
          <w:lang w:val="en-US"/>
        </w:rPr>
        <w:t xml:space="preserve"> National Instrument</w:t>
      </w:r>
      <w:r w:rsidR="00AE2176" w:rsidRPr="00597FCF">
        <w:rPr>
          <w:lang w:val="en-US"/>
        </w:rPr>
        <w:t>s</w:t>
      </w:r>
      <w:r w:rsidRPr="00597FCF">
        <w:rPr>
          <w:lang w:val="en-US"/>
        </w:rPr>
        <w:t xml:space="preserve"> (NI) </w:t>
      </w:r>
      <w:r w:rsidR="0034321B" w:rsidRPr="00597FCF">
        <w:rPr>
          <w:lang w:val="en-US"/>
        </w:rPr>
        <w:t>(100 MHz, 16</w:t>
      </w:r>
      <w:r w:rsidR="006452F2" w:rsidRPr="00597FCF">
        <w:rPr>
          <w:lang w:val="en-US"/>
        </w:rPr>
        <w:t> </w:t>
      </w:r>
      <w:r w:rsidR="0034321B" w:rsidRPr="00597FCF">
        <w:rPr>
          <w:lang w:val="en-US"/>
        </w:rPr>
        <w:t>bit, ± 12 </w:t>
      </w:r>
      <w:r w:rsidRPr="00597FCF">
        <w:rPr>
          <w:lang w:val="en-US"/>
        </w:rPr>
        <w:t>V), an acquisition module NI 4462 (4 channels, 24</w:t>
      </w:r>
      <w:r w:rsidR="0034321B" w:rsidRPr="00597FCF">
        <w:rPr>
          <w:lang w:val="en-US"/>
        </w:rPr>
        <w:t> </w:t>
      </w:r>
      <w:r w:rsidRPr="00597FCF">
        <w:rPr>
          <w:lang w:val="en-US"/>
        </w:rPr>
        <w:t>bit, 204.8 kHz) and a synchronization module NI</w:t>
      </w:r>
      <w:r w:rsidR="006452F2" w:rsidRPr="00597FCF">
        <w:rPr>
          <w:lang w:val="en-US"/>
        </w:rPr>
        <w:t> </w:t>
      </w:r>
      <w:r w:rsidRPr="00597FCF">
        <w:rPr>
          <w:lang w:val="en-US"/>
        </w:rPr>
        <w:t>6388H that allows to regulate the internal 10</w:t>
      </w:r>
      <w:r w:rsidR="006452F2" w:rsidRPr="00597FCF">
        <w:rPr>
          <w:lang w:val="en-US"/>
        </w:rPr>
        <w:t> </w:t>
      </w:r>
      <w:r w:rsidRPr="00597FCF">
        <w:rPr>
          <w:lang w:val="en-US"/>
        </w:rPr>
        <w:t>MHz clock of the two units with the GPS signal with an accuracy of 100</w:t>
      </w:r>
      <w:r w:rsidR="006452F2" w:rsidRPr="00597FCF">
        <w:rPr>
          <w:lang w:val="en-US"/>
        </w:rPr>
        <w:t> </w:t>
      </w:r>
      <w:r w:rsidRPr="00597FCF">
        <w:rPr>
          <w:lang w:val="en-US"/>
        </w:rPr>
        <w:t xml:space="preserve">ns. The two units are separated to maintain galvanic isolation since, in the case of </w:t>
      </w:r>
      <w:r w:rsidR="00FA7AC0" w:rsidRPr="00597FCF">
        <w:rPr>
          <w:lang w:val="en-US"/>
        </w:rPr>
        <w:t xml:space="preserve">combined </w:t>
      </w:r>
      <w:r w:rsidRPr="00597FCF">
        <w:rPr>
          <w:lang w:val="en-US"/>
        </w:rPr>
        <w:t>transducers</w:t>
      </w:r>
      <w:r w:rsidR="00FA7AC0" w:rsidRPr="00597FCF">
        <w:rPr>
          <w:lang w:val="en-US"/>
        </w:rPr>
        <w:t xml:space="preserve"> (as most of them for railway applications)</w:t>
      </w:r>
      <w:r w:rsidRPr="00597FCF">
        <w:rPr>
          <w:lang w:val="en-US"/>
        </w:rPr>
        <w:t xml:space="preserve"> under test, the simultaneous generation of voltage and current takes place with the current generation system at a floating potential with respect to ground potential. For the emulation of the voltage signal from the power supply line, a TREK amplifier has been used; it can reproduce signals up to 30</w:t>
      </w:r>
      <w:r w:rsidR="00FA7AC0" w:rsidRPr="00597FCF">
        <w:rPr>
          <w:lang w:val="en-US"/>
        </w:rPr>
        <w:t> </w:t>
      </w:r>
      <w:r w:rsidRPr="00597FCF">
        <w:rPr>
          <w:lang w:val="en-US"/>
        </w:rPr>
        <w:t>kV with a frequency bandwidth up to 7 kHz for the large signal and 30 kHz for the small signal. For the current generation a Sorensen SGX High Power DC Supply has been used. It can generate up to 1200 A and the output can be controlled with a low voltage signal. The voltage reference is a resistive-capacitive divider with an overall accuracy of 0.05 % in the frequency range from DC to 5</w:t>
      </w:r>
      <w:r w:rsidR="00FA7AC0" w:rsidRPr="00597FCF">
        <w:rPr>
          <w:lang w:val="en-US"/>
        </w:rPr>
        <w:t> </w:t>
      </w:r>
      <w:r w:rsidRPr="00597FCF">
        <w:rPr>
          <w:lang w:val="en-US"/>
        </w:rPr>
        <w:t xml:space="preserve">kHz developed at INRIM. The current reference is the </w:t>
      </w:r>
      <w:r w:rsidRPr="00597FCF">
        <w:rPr>
          <w:lang w:val="en-US"/>
        </w:rPr>
        <w:lastRenderedPageBreak/>
        <w:t>ITZ 2000-S FLEX ULTRASTAB with an overall accuracy lower than 12</w:t>
      </w:r>
      <w:r w:rsidR="00D97C60" w:rsidRPr="00597FCF">
        <w:rPr>
          <w:lang w:val="en-US"/>
        </w:rPr>
        <w:t> </w:t>
      </w:r>
      <w:r w:rsidRPr="00597FCF">
        <w:rPr>
          <w:lang w:val="en-US"/>
        </w:rPr>
        <w:t xml:space="preserve">ppm. The output of this transducer is converted in voltage by a </w:t>
      </w:r>
      <w:proofErr w:type="spellStart"/>
      <w:r w:rsidRPr="00597FCF">
        <w:rPr>
          <w:lang w:val="en-US"/>
        </w:rPr>
        <w:t>G</w:t>
      </w:r>
      <w:r w:rsidR="006452F2" w:rsidRPr="00597FCF">
        <w:rPr>
          <w:lang w:val="en-US"/>
        </w:rPr>
        <w:t>uildline</w:t>
      </w:r>
      <w:proofErr w:type="spellEnd"/>
      <w:r w:rsidR="006452F2" w:rsidRPr="00597FCF">
        <w:rPr>
          <w:lang w:val="en-US"/>
        </w:rPr>
        <w:t xml:space="preserve"> current shunt (1 Ω, 10 </w:t>
      </w:r>
      <w:r w:rsidRPr="00597FCF">
        <w:rPr>
          <w:lang w:val="en-US"/>
        </w:rPr>
        <w:t>ppm). Both the voltage current generation units are remotely controlled by a Personal Computer (PC) thanks to the NI</w:t>
      </w:r>
      <w:r w:rsidR="00D97C60" w:rsidRPr="00597FCF">
        <w:rPr>
          <w:lang w:val="en-US"/>
        </w:rPr>
        <w:t> </w:t>
      </w:r>
      <w:r w:rsidRPr="00597FCF">
        <w:rPr>
          <w:lang w:val="en-US"/>
        </w:rPr>
        <w:t>8375 Remote control module with fiber optic connections.</w:t>
      </w:r>
      <w:r w:rsidR="004A2459" w:rsidRPr="00597FCF">
        <w:rPr>
          <w:lang w:val="en-US"/>
        </w:rPr>
        <w:t xml:space="preserve"> All the measurement setup is represented in </w:t>
      </w:r>
      <w:r w:rsidR="004A2459" w:rsidRPr="00597FCF">
        <w:rPr>
          <w:lang w:val="en-US"/>
        </w:rPr>
        <w:fldChar w:fldCharType="begin"/>
      </w:r>
      <w:r w:rsidR="004A2459" w:rsidRPr="00597FCF">
        <w:rPr>
          <w:lang w:val="en-US"/>
        </w:rPr>
        <w:instrText xml:space="preserve"> REF _Ref36045663 \h </w:instrText>
      </w:r>
      <w:r w:rsidR="00597FCF">
        <w:rPr>
          <w:lang w:val="en-US"/>
        </w:rPr>
        <w:instrText xml:space="preserve"> \* MERGEFORMAT </w:instrText>
      </w:r>
      <w:r w:rsidR="004A2459" w:rsidRPr="00597FCF">
        <w:rPr>
          <w:lang w:val="en-US"/>
        </w:rPr>
      </w:r>
      <w:r w:rsidR="004A2459" w:rsidRPr="00597FCF">
        <w:rPr>
          <w:lang w:val="en-US"/>
        </w:rPr>
        <w:fldChar w:fldCharType="separate"/>
      </w:r>
      <w:r w:rsidR="001315EA" w:rsidRPr="00E30BBA">
        <w:rPr>
          <w:szCs w:val="20"/>
        </w:rPr>
        <w:t xml:space="preserve">Fig. </w:t>
      </w:r>
      <w:r w:rsidR="001315EA">
        <w:rPr>
          <w:noProof/>
          <w:szCs w:val="20"/>
        </w:rPr>
        <w:t>3</w:t>
      </w:r>
      <w:r w:rsidR="004A2459" w:rsidRPr="00597FCF">
        <w:rPr>
          <w:lang w:val="en-US"/>
        </w:rPr>
        <w:fldChar w:fldCharType="end"/>
      </w:r>
      <w:r w:rsidR="00BD3839" w:rsidRPr="00597FCF">
        <w:rPr>
          <w:lang w:val="en-US"/>
        </w:rPr>
        <w:t xml:space="preserve">. </w:t>
      </w:r>
    </w:p>
    <w:p w14:paraId="68252AC5" w14:textId="0EF67E2D" w:rsidR="000E0656" w:rsidRPr="00597FCF" w:rsidRDefault="000E0656" w:rsidP="000E0656">
      <w:pPr>
        <w:pStyle w:val="Subsectionheading"/>
        <w:numPr>
          <w:ilvl w:val="0"/>
          <w:numId w:val="6"/>
        </w:numPr>
        <w:rPr>
          <w:lang w:val="en-US"/>
        </w:rPr>
      </w:pPr>
      <w:r w:rsidRPr="00597FCF">
        <w:rPr>
          <w:lang w:val="en-US"/>
        </w:rPr>
        <w:t>Software implementation</w:t>
      </w:r>
    </w:p>
    <w:p w14:paraId="1AB68BFD" w14:textId="0E18F5FA" w:rsidR="000E0656" w:rsidRPr="00597FCF" w:rsidRDefault="005124D6" w:rsidP="00F428F6">
      <w:pPr>
        <w:pStyle w:val="Bodytextfirst"/>
        <w:rPr>
          <w:lang w:val="en-US"/>
        </w:rPr>
      </w:pPr>
      <w:r w:rsidRPr="00597FCF">
        <w:rPr>
          <w:noProof/>
          <w:lang w:eastAsia="it-IT" w:bidi="ar-SA"/>
        </w:rPr>
        <mc:AlternateContent>
          <mc:Choice Requires="wps">
            <w:drawing>
              <wp:anchor distT="0" distB="0" distL="114300" distR="114300" simplePos="0" relativeHeight="251665920" behindDoc="0" locked="0" layoutInCell="1" allowOverlap="1" wp14:anchorId="17AA1500" wp14:editId="2AE19F66">
                <wp:simplePos x="0" y="0"/>
                <wp:positionH relativeFrom="margin">
                  <wp:posOffset>224455</wp:posOffset>
                </wp:positionH>
                <wp:positionV relativeFrom="margin">
                  <wp:posOffset>5985161</wp:posOffset>
                </wp:positionV>
                <wp:extent cx="5772150" cy="2330450"/>
                <wp:effectExtent l="0" t="0" r="0" b="0"/>
                <wp:wrapSquare wrapText="bothSides"/>
                <wp:docPr id="11"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2150" cy="2330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8CA67D" w14:textId="77777777" w:rsidR="0087007E" w:rsidRDefault="0087007E" w:rsidP="0087007E">
                            <w:pPr>
                              <w:keepNext/>
                              <w:ind w:left="-142"/>
                              <w:jc w:val="center"/>
                            </w:pPr>
                            <w:r>
                              <w:rPr>
                                <w:noProof/>
                                <w:lang w:eastAsia="it-IT" w:bidi="ar-SA"/>
                              </w:rPr>
                              <w:drawing>
                                <wp:inline distT="0" distB="0" distL="0" distR="0" wp14:anchorId="6C9042F6" wp14:editId="2D4BE7FF">
                                  <wp:extent cx="4424691" cy="1997813"/>
                                  <wp:effectExtent l="0" t="0" r="0" b="254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499448" cy="2031567"/>
                                          </a:xfrm>
                                          <a:prstGeom prst="rect">
                                            <a:avLst/>
                                          </a:prstGeom>
                                          <a:noFill/>
                                          <a:ln>
                                            <a:noFill/>
                                          </a:ln>
                                        </pic:spPr>
                                      </pic:pic>
                                    </a:graphicData>
                                  </a:graphic>
                                </wp:inline>
                              </w:drawing>
                            </w:r>
                          </w:p>
                          <w:p w14:paraId="21DBB29F" w14:textId="5F0529F0" w:rsidR="0087007E" w:rsidRPr="00E30BBA" w:rsidRDefault="0087007E" w:rsidP="0087007E">
                            <w:pPr>
                              <w:pStyle w:val="Didascalia"/>
                              <w:rPr>
                                <w:sz w:val="20"/>
                                <w:szCs w:val="20"/>
                              </w:rPr>
                            </w:pPr>
                            <w:bookmarkStart w:id="2" w:name="_Ref36045663"/>
                            <w:r w:rsidRPr="00E30BBA">
                              <w:rPr>
                                <w:sz w:val="20"/>
                                <w:szCs w:val="20"/>
                              </w:rPr>
                              <w:t xml:space="preserve">Fig. </w:t>
                            </w:r>
                            <w:r w:rsidRPr="00E30BBA">
                              <w:rPr>
                                <w:sz w:val="20"/>
                                <w:szCs w:val="20"/>
                              </w:rPr>
                              <w:fldChar w:fldCharType="begin"/>
                            </w:r>
                            <w:r w:rsidRPr="00E30BBA">
                              <w:rPr>
                                <w:sz w:val="20"/>
                                <w:szCs w:val="20"/>
                              </w:rPr>
                              <w:instrText xml:space="preserve"> SEQ Fig. \* ARABIC </w:instrText>
                            </w:r>
                            <w:r w:rsidRPr="00E30BBA">
                              <w:rPr>
                                <w:sz w:val="20"/>
                                <w:szCs w:val="20"/>
                              </w:rPr>
                              <w:fldChar w:fldCharType="separate"/>
                            </w:r>
                            <w:r w:rsidR="001315EA">
                              <w:rPr>
                                <w:noProof/>
                                <w:sz w:val="20"/>
                                <w:szCs w:val="20"/>
                              </w:rPr>
                              <w:t>3</w:t>
                            </w:r>
                            <w:r w:rsidRPr="00E30BBA">
                              <w:rPr>
                                <w:sz w:val="20"/>
                                <w:szCs w:val="20"/>
                              </w:rPr>
                              <w:fldChar w:fldCharType="end"/>
                            </w:r>
                            <w:bookmarkEnd w:id="2"/>
                            <w:r w:rsidRPr="00E30BBA">
                              <w:rPr>
                                <w:sz w:val="20"/>
                                <w:szCs w:val="20"/>
                              </w:rPr>
                              <w:t xml:space="preserve"> Measurement Setup</w:t>
                            </w:r>
                          </w:p>
                          <w:p w14:paraId="046053DC" w14:textId="77777777" w:rsidR="0087007E" w:rsidRDefault="0087007E" w:rsidP="0087007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AA1500" id="Text Box 10" o:spid="_x0000_s1028" type="#_x0000_t202" style="position:absolute;left:0;text-align:left;margin-left:17.65pt;margin-top:471.25pt;width:454.5pt;height:183.5pt;z-index:25166592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" stroked="f">
                <v:textbox>
                  <w:txbxContent>
                    <w:p w14:paraId="0F8CA67D" w14:textId="77777777" w:rsidR="0087007E" w:rsidRDefault="0087007E" w:rsidP="0087007E">
                      <w:pPr>
                        <w:keepNext/>
                        <w:ind w:left="-142"/>
                        <w:jc w:val="center"/>
                      </w:pPr>
                      <w:r>
                        <w:rPr>
                          <w:noProof/>
                          <w:lang w:eastAsia="it-IT" w:bidi="ar-SA"/>
                        </w:rPr>
                        <w:drawing>
                          <wp:inline distT="0" distB="0" distL="0" distR="0" wp14:anchorId="6C9042F6" wp14:editId="2D4BE7FF">
                            <wp:extent cx="4424691" cy="1997813"/>
                            <wp:effectExtent l="0" t="0" r="0" b="254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99448" cy="2031567"/>
                                    </a:xfrm>
                                    <a:prstGeom prst="rect">
                                      <a:avLst/>
                                    </a:prstGeom>
                                    <a:noFill/>
                                    <a:ln>
                                      <a:noFill/>
                                    </a:ln>
                                  </pic:spPr>
                                </pic:pic>
                              </a:graphicData>
                            </a:graphic>
                          </wp:inline>
                        </w:drawing>
                      </w:r>
                    </w:p>
                    <w:p w14:paraId="21DBB29F" w14:textId="5F0529F0" w:rsidR="0087007E" w:rsidRPr="00E30BBA" w:rsidRDefault="0087007E" w:rsidP="0087007E">
                      <w:pPr>
                        <w:pStyle w:val="Didascalia"/>
                        <w:rPr>
                          <w:sz w:val="20"/>
                          <w:szCs w:val="20"/>
                        </w:rPr>
                      </w:pPr>
                      <w:bookmarkStart w:id="5" w:name="_Ref36045663"/>
                      <w:r w:rsidRPr="00E30BBA">
                        <w:rPr>
                          <w:sz w:val="20"/>
                          <w:szCs w:val="20"/>
                        </w:rPr>
                        <w:t xml:space="preserve">Fig. </w:t>
                      </w:r>
                      <w:r w:rsidRPr="00E30BBA">
                        <w:rPr>
                          <w:sz w:val="20"/>
                          <w:szCs w:val="20"/>
                        </w:rPr>
                        <w:fldChar w:fldCharType="begin"/>
                      </w:r>
                      <w:r w:rsidRPr="00E30BBA">
                        <w:rPr>
                          <w:sz w:val="20"/>
                          <w:szCs w:val="20"/>
                        </w:rPr>
                        <w:instrText xml:space="preserve"> SEQ Fig. \* ARABIC </w:instrText>
                      </w:r>
                      <w:r w:rsidRPr="00E30BBA">
                        <w:rPr>
                          <w:sz w:val="20"/>
                          <w:szCs w:val="20"/>
                        </w:rPr>
                        <w:fldChar w:fldCharType="separate"/>
                      </w:r>
                      <w:r w:rsidR="001315EA">
                        <w:rPr>
                          <w:noProof/>
                          <w:sz w:val="20"/>
                          <w:szCs w:val="20"/>
                        </w:rPr>
                        <w:t>3</w:t>
                      </w:r>
                      <w:r w:rsidRPr="00E30BBA">
                        <w:rPr>
                          <w:sz w:val="20"/>
                          <w:szCs w:val="20"/>
                        </w:rPr>
                        <w:fldChar w:fldCharType="end"/>
                      </w:r>
                      <w:bookmarkEnd w:id="5"/>
                      <w:r w:rsidRPr="00E30BBA">
                        <w:rPr>
                          <w:sz w:val="20"/>
                          <w:szCs w:val="20"/>
                        </w:rPr>
                        <w:t xml:space="preserve"> Measurement Setup</w:t>
                      </w:r>
                    </w:p>
                    <w:p w14:paraId="046053DC" w14:textId="77777777" w:rsidR="0087007E" w:rsidRDefault="0087007E" w:rsidP="0087007E"/>
                  </w:txbxContent>
                </v:textbox>
                <w10:wrap type="square" anchorx="margin" anchory="margin"/>
              </v:shape>
            </w:pict>
          </mc:Fallback>
        </mc:AlternateContent>
      </w:r>
      <w:r w:rsidR="000E0656" w:rsidRPr="00597FCF">
        <w:rPr>
          <w:lang w:val="en-US"/>
        </w:rPr>
        <w:t>The application used for remote control of voltage and current units is developed entirely in LabVIEW. In order to correctly generate power quality phenomena, it is necessary to know the time difference between the voltage generated and the current generated. For this reason, the synchronization modules have been used which guarantee a delay with respect to the signal derived from the GPS of ± 100 ns, so a delay between the two units at worst of ±</w:t>
      </w:r>
      <w:r>
        <w:rPr>
          <w:lang w:val="en-US"/>
        </w:rPr>
        <w:t> </w:t>
      </w:r>
      <w:r w:rsidR="000E0656" w:rsidRPr="00597FCF">
        <w:rPr>
          <w:lang w:val="en-US"/>
        </w:rPr>
        <w:t>200</w:t>
      </w:r>
      <w:r>
        <w:rPr>
          <w:lang w:val="en-US"/>
        </w:rPr>
        <w:t> </w:t>
      </w:r>
      <w:r w:rsidR="000E0656" w:rsidRPr="00597FCF">
        <w:rPr>
          <w:lang w:val="en-US"/>
        </w:rPr>
        <w:t>ns which can be neglected with a generation frequency of 100 kHz. The generation of long-lasting waveforms, or of entire railway journey, was obtai</w:t>
      </w:r>
      <w:r w:rsidR="006A17DD" w:rsidRPr="00597FCF">
        <w:rPr>
          <w:lang w:val="en-US"/>
        </w:rPr>
        <w:t>ned through the streaming mode</w:t>
      </w:r>
      <w:r w:rsidR="00811257" w:rsidRPr="00597FCF">
        <w:rPr>
          <w:lang w:val="en-US"/>
        </w:rPr>
        <w:t>.</w:t>
      </w:r>
      <w:r w:rsidR="000E0656" w:rsidRPr="00597FCF">
        <w:rPr>
          <w:lang w:val="en-US"/>
        </w:rPr>
        <w:t xml:space="preserve"> This mode is used when the memory of the generation module is not sufficient to contain all the data to be generated. It consists of loading in memory the data into blocks with successive iterations. During the generation of the </w:t>
      </w:r>
      <w:r w:rsidR="000E0656" w:rsidRPr="00597FCF">
        <w:rPr>
          <w:i/>
          <w:lang w:val="en-US"/>
        </w:rPr>
        <w:t>j-</w:t>
      </w:r>
      <w:proofErr w:type="spellStart"/>
      <w:r w:rsidR="000E0656" w:rsidRPr="00597FCF">
        <w:rPr>
          <w:i/>
          <w:lang w:val="en-US"/>
        </w:rPr>
        <w:t>th</w:t>
      </w:r>
      <w:proofErr w:type="spellEnd"/>
      <w:r w:rsidR="000E0656" w:rsidRPr="00597FCF">
        <w:rPr>
          <w:lang w:val="en-US"/>
        </w:rPr>
        <w:t xml:space="preserve"> block, </w:t>
      </w:r>
      <w:r w:rsidR="000E0656" w:rsidRPr="00597FCF">
        <w:rPr>
          <w:i/>
          <w:lang w:val="en-US"/>
        </w:rPr>
        <w:t>the j+1-th</w:t>
      </w:r>
      <w:r w:rsidR="000E0656" w:rsidRPr="00597FCF">
        <w:rPr>
          <w:lang w:val="en-US"/>
        </w:rPr>
        <w:t xml:space="preserve"> block is loaded into memory and so on. Taking into account the generation frequency, the capacity and the writing speed of the memory, it is possible to find a balance whereby the generation can last for an indefinite time. A further feature of the software, in order to improve the smoothness of the waveform, is the re</w:t>
      </w:r>
      <w:r w:rsidR="00FB2C07" w:rsidRPr="00597FCF">
        <w:rPr>
          <w:lang w:val="en-US"/>
        </w:rPr>
        <w:t>-</w:t>
      </w:r>
      <w:r w:rsidR="000E0656" w:rsidRPr="00597FCF">
        <w:rPr>
          <w:lang w:val="en-US"/>
        </w:rPr>
        <w:t xml:space="preserve">sampling </w:t>
      </w:r>
      <w:r w:rsidR="00FB2C07" w:rsidRPr="00597FCF">
        <w:rPr>
          <w:lang w:val="en-US"/>
        </w:rPr>
        <w:t xml:space="preserve">of </w:t>
      </w:r>
      <w:r w:rsidR="000E0656" w:rsidRPr="00597FCF">
        <w:rPr>
          <w:lang w:val="en-US"/>
        </w:rPr>
        <w:t>the signal to be generated, based on interpolation, with the end of increasing the number of points and the sampling frequency</w:t>
      </w:r>
    </w:p>
    <w:p w14:paraId="02E2558C" w14:textId="11F8B901" w:rsidR="00866FFC" w:rsidRPr="00597FCF" w:rsidRDefault="00866FFC" w:rsidP="00866FFC">
      <w:pPr>
        <w:pStyle w:val="Sectionheading"/>
        <w:rPr>
          <w:lang w:val="en-US"/>
        </w:rPr>
      </w:pPr>
      <w:r w:rsidRPr="00597FCF">
        <w:rPr>
          <w:lang w:val="en-US"/>
        </w:rPr>
        <w:t>Example of transient events</w:t>
      </w:r>
    </w:p>
    <w:p w14:paraId="4036B238" w14:textId="09BAB135" w:rsidR="003415BB" w:rsidRPr="00A90938" w:rsidRDefault="00303CD1" w:rsidP="00F428F6">
      <w:pPr>
        <w:pStyle w:val="Bodytextfirst"/>
        <w:rPr>
          <w:lang w:val="en-US"/>
        </w:rPr>
      </w:pPr>
      <w:r w:rsidRPr="00597FCF">
        <w:rPr>
          <w:lang w:val="en-US"/>
        </w:rPr>
        <w:t xml:space="preserve">In order to characterize the on-board detection systems, it must be considered that the voltages supplied to trains are often distorted and subject to ripple; these distortions </w:t>
      </w:r>
      <w:r w:rsidRPr="00597FCF">
        <w:rPr>
          <w:lang w:val="en-US"/>
        </w:rPr>
        <w:lastRenderedPageBreak/>
        <w:t xml:space="preserve">are much larger than those experienced on the usual </w:t>
      </w:r>
      <w:r w:rsidR="00025344" w:rsidRPr="00597FCF">
        <w:rPr>
          <w:noProof/>
          <w:lang w:eastAsia="it-IT" w:bidi="ar-SA"/>
        </w:rPr>
        <mc:AlternateContent>
          <mc:Choice Requires="wps">
            <w:drawing>
              <wp:anchor distT="0" distB="0" distL="114300" distR="114300" simplePos="0" relativeHeight="251670016" behindDoc="0" locked="0" layoutInCell="1" allowOverlap="1" wp14:anchorId="4DF3DF2A" wp14:editId="425F0810">
                <wp:simplePos x="0" y="0"/>
                <wp:positionH relativeFrom="margin">
                  <wp:posOffset>3337560</wp:posOffset>
                </wp:positionH>
                <wp:positionV relativeFrom="margin">
                  <wp:posOffset>0</wp:posOffset>
                </wp:positionV>
                <wp:extent cx="2776220" cy="2447925"/>
                <wp:effectExtent l="0" t="0" r="635" b="9525"/>
                <wp:wrapSquare wrapText="bothSides"/>
                <wp:docPr id="3"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6220" cy="24479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A08EDEA" w14:textId="3AAE8B2E" w:rsidR="00025344" w:rsidRDefault="00025344" w:rsidP="00025344">
                            <w:pPr>
                              <w:keepNext/>
                              <w:ind w:left="142" w:right="97"/>
                              <w:jc w:val="center"/>
                            </w:pPr>
                            <w:r>
                              <w:rPr>
                                <w:noProof/>
                                <w:lang w:eastAsia="it-IT" w:bidi="ar-SA"/>
                              </w:rPr>
                              <w:drawing>
                                <wp:inline distT="0" distB="0" distL="0" distR="0" wp14:anchorId="551E2B6B" wp14:editId="65D8F0EB">
                                  <wp:extent cx="2619303" cy="1887855"/>
                                  <wp:effectExtent l="0" t="0" r="0" b="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nalisi_ripple.emf"/>
                                          <pic:cNvPicPr/>
                                        </pic:nvPicPr>
                                        <pic:blipFill rotWithShape="1">
                                          <a:blip r:embed="rId15">
                                            <a:extLst>
                                              <a:ext uri="{28A0092B-C50C-407E-A947-70E740481C1C}">
                                                <a14:useLocalDpi xmlns:a14="http://schemas.microsoft.com/office/drawing/2010/main" val="0"/>
                                              </a:ext>
                                            </a:extLst>
                                          </a:blip>
                                          <a:srcRect t="3879"/>
                                          <a:stretch/>
                                        </pic:blipFill>
                                        <pic:spPr bwMode="auto">
                                          <a:xfrm>
                                            <a:off x="0" y="0"/>
                                            <a:ext cx="2633449" cy="1898050"/>
                                          </a:xfrm>
                                          <a:prstGeom prst="rect">
                                            <a:avLst/>
                                          </a:prstGeom>
                                          <a:ln>
                                            <a:noFill/>
                                          </a:ln>
                                          <a:extLst>
                                            <a:ext uri="{53640926-AAD7-44D8-BBD7-CCE9431645EC}">
                                              <a14:shadowObscured xmlns:a14="http://schemas.microsoft.com/office/drawing/2010/main"/>
                                            </a:ext>
                                          </a:extLst>
                                        </pic:spPr>
                                      </pic:pic>
                                    </a:graphicData>
                                  </a:graphic>
                                </wp:inline>
                              </w:drawing>
                            </w:r>
                          </w:p>
                          <w:p w14:paraId="339BF2FD" w14:textId="05E463C5" w:rsidR="00025344" w:rsidRPr="00025344" w:rsidRDefault="00025344" w:rsidP="00025344">
                            <w:pPr>
                              <w:pStyle w:val="Didascalia"/>
                              <w:ind w:left="142" w:right="97"/>
                              <w:rPr>
                                <w:lang w:val="en-US"/>
                              </w:rPr>
                            </w:pPr>
                            <w:bookmarkStart w:id="3" w:name="_Ref46226578"/>
                            <w:r w:rsidRPr="001315EA">
                              <w:rPr>
                                <w:sz w:val="20"/>
                                <w:lang w:val="en-US"/>
                              </w:rPr>
                              <w:t xml:space="preserve">Fig. </w:t>
                            </w:r>
                            <w:r w:rsidRPr="00F312BC">
                              <w:rPr>
                                <w:sz w:val="20"/>
                              </w:rPr>
                              <w:fldChar w:fldCharType="begin"/>
                            </w:r>
                            <w:r w:rsidRPr="001315EA">
                              <w:rPr>
                                <w:sz w:val="20"/>
                                <w:lang w:val="en-US"/>
                              </w:rPr>
                              <w:instrText xml:space="preserve"> SEQ Fig. \* ARABIC </w:instrText>
                            </w:r>
                            <w:r w:rsidRPr="00F312BC">
                              <w:rPr>
                                <w:sz w:val="20"/>
                              </w:rPr>
                              <w:fldChar w:fldCharType="separate"/>
                            </w:r>
                            <w:r w:rsidR="001315EA" w:rsidRPr="001315EA">
                              <w:rPr>
                                <w:noProof/>
                                <w:sz w:val="20"/>
                                <w:lang w:val="en-US"/>
                              </w:rPr>
                              <w:t>4</w:t>
                            </w:r>
                            <w:r w:rsidRPr="00F312BC">
                              <w:rPr>
                                <w:sz w:val="20"/>
                              </w:rPr>
                              <w:fldChar w:fldCharType="end"/>
                            </w:r>
                            <w:bookmarkEnd w:id="3"/>
                            <w:r w:rsidRPr="00025344">
                              <w:rPr>
                                <w:sz w:val="20"/>
                                <w:lang w:val="en-US"/>
                              </w:rPr>
                              <w:t xml:space="preserve">: 300Hz </w:t>
                            </w:r>
                            <w:r w:rsidR="00B0141C" w:rsidRPr="00025344">
                              <w:rPr>
                                <w:sz w:val="20"/>
                                <w:lang w:val="en-US"/>
                              </w:rPr>
                              <w:t>distortion</w:t>
                            </w:r>
                            <w:r w:rsidRPr="00025344">
                              <w:rPr>
                                <w:sz w:val="20"/>
                                <w:lang w:val="en-US"/>
                              </w:rPr>
                              <w:t xml:space="preserve"> over time during </w:t>
                            </w:r>
                            <w:proofErr w:type="spellStart"/>
                            <w:r w:rsidRPr="00025344">
                              <w:rPr>
                                <w:sz w:val="20"/>
                                <w:lang w:val="en-US"/>
                              </w:rPr>
                              <w:t>Bardonecchia</w:t>
                            </w:r>
                            <w:proofErr w:type="spellEnd"/>
                            <w:r w:rsidRPr="00025344">
                              <w:rPr>
                                <w:sz w:val="20"/>
                                <w:lang w:val="en-US"/>
                              </w:rPr>
                              <w:t xml:space="preserve"> – Torino journey</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F3DF2A" id="Text Box 8" o:spid="_x0000_s1029" type="#_x0000_t202" style="position:absolute;left:0;text-align:left;margin-left:262.8pt;margin-top:0;width:218.6pt;height:192.75pt;z-index:251670016;visibility:visible;mso-wrap-style:non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" stroked="f">
                <v:textbox>
                  <w:txbxContent>
                    <w:p w14:paraId="2A08EDEA" w14:textId="3AAE8B2E" w:rsidR="00025344" w:rsidRDefault="00025344" w:rsidP="00025344">
                      <w:pPr>
                        <w:keepNext/>
                        <w:ind w:left="142" w:right="97"/>
                        <w:jc w:val="center"/>
                      </w:pPr>
                      <w:r>
                        <w:rPr>
                          <w:noProof/>
                          <w:lang w:eastAsia="it-IT" w:bidi="ar-SA"/>
                        </w:rPr>
                        <w:drawing>
                          <wp:inline distT="0" distB="0" distL="0" distR="0" wp14:anchorId="551E2B6B" wp14:editId="65D8F0EB">
                            <wp:extent cx="2619303" cy="1887855"/>
                            <wp:effectExtent l="0" t="0" r="0" b="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nalisi_ripple.emf"/>
                                    <pic:cNvPicPr/>
                                  </pic:nvPicPr>
                                  <pic:blipFill rotWithShape="1">
                                    <a:blip r:embed="rId16">
                                      <a:extLst>
                                        <a:ext uri="{28A0092B-C50C-407E-A947-70E740481C1C}">
                                          <a14:useLocalDpi xmlns:a14="http://schemas.microsoft.com/office/drawing/2010/main" val="0"/>
                                        </a:ext>
                                      </a:extLst>
                                    </a:blip>
                                    <a:srcRect t="3879"/>
                                    <a:stretch/>
                                  </pic:blipFill>
                                  <pic:spPr bwMode="auto">
                                    <a:xfrm>
                                      <a:off x="0" y="0"/>
                                      <a:ext cx="2633449" cy="1898050"/>
                                    </a:xfrm>
                                    <a:prstGeom prst="rect">
                                      <a:avLst/>
                                    </a:prstGeom>
                                    <a:ln>
                                      <a:noFill/>
                                    </a:ln>
                                    <a:extLst>
                                      <a:ext uri="{53640926-AAD7-44D8-BBD7-CCE9431645EC}">
                                        <a14:shadowObscured xmlns:a14="http://schemas.microsoft.com/office/drawing/2010/main"/>
                                      </a:ext>
                                    </a:extLst>
                                  </pic:spPr>
                                </pic:pic>
                              </a:graphicData>
                            </a:graphic>
                          </wp:inline>
                        </w:drawing>
                      </w:r>
                    </w:p>
                    <w:p w14:paraId="339BF2FD" w14:textId="05E463C5" w:rsidR="00025344" w:rsidRPr="00025344" w:rsidRDefault="00025344" w:rsidP="00025344">
                      <w:pPr>
                        <w:pStyle w:val="Didascalia"/>
                        <w:ind w:left="142" w:right="97"/>
                        <w:rPr>
                          <w:lang w:val="en-US"/>
                        </w:rPr>
                      </w:pPr>
                      <w:bookmarkStart w:id="8" w:name="_Ref46226578"/>
                      <w:r w:rsidRPr="001315EA">
                        <w:rPr>
                          <w:sz w:val="20"/>
                          <w:lang w:val="en-US"/>
                        </w:rPr>
                        <w:t xml:space="preserve">Fig. </w:t>
                      </w:r>
                      <w:r w:rsidRPr="00F312BC">
                        <w:rPr>
                          <w:sz w:val="20"/>
                        </w:rPr>
                        <w:fldChar w:fldCharType="begin"/>
                      </w:r>
                      <w:r w:rsidRPr="001315EA">
                        <w:rPr>
                          <w:sz w:val="20"/>
                          <w:lang w:val="en-US"/>
                        </w:rPr>
                        <w:instrText xml:space="preserve"> SEQ Fig. \* ARABIC </w:instrText>
                      </w:r>
                      <w:r w:rsidRPr="00F312BC">
                        <w:rPr>
                          <w:sz w:val="20"/>
                        </w:rPr>
                        <w:fldChar w:fldCharType="separate"/>
                      </w:r>
                      <w:r w:rsidR="001315EA" w:rsidRPr="001315EA">
                        <w:rPr>
                          <w:noProof/>
                          <w:sz w:val="20"/>
                          <w:lang w:val="en-US"/>
                        </w:rPr>
                        <w:t>4</w:t>
                      </w:r>
                      <w:r w:rsidRPr="00F312BC">
                        <w:rPr>
                          <w:sz w:val="20"/>
                        </w:rPr>
                        <w:fldChar w:fldCharType="end"/>
                      </w:r>
                      <w:bookmarkEnd w:id="8"/>
                      <w:r w:rsidRPr="00025344">
                        <w:rPr>
                          <w:sz w:val="20"/>
                          <w:lang w:val="en-US"/>
                        </w:rPr>
                        <w:t xml:space="preserve">: 300Hz </w:t>
                      </w:r>
                      <w:r w:rsidR="00B0141C" w:rsidRPr="00025344">
                        <w:rPr>
                          <w:sz w:val="20"/>
                          <w:lang w:val="en-US"/>
                        </w:rPr>
                        <w:t>distortion</w:t>
                      </w:r>
                      <w:r w:rsidRPr="00025344">
                        <w:rPr>
                          <w:sz w:val="20"/>
                          <w:lang w:val="en-US"/>
                        </w:rPr>
                        <w:t xml:space="preserve"> over time during </w:t>
                      </w:r>
                      <w:proofErr w:type="spellStart"/>
                      <w:r w:rsidRPr="00025344">
                        <w:rPr>
                          <w:sz w:val="20"/>
                          <w:lang w:val="en-US"/>
                        </w:rPr>
                        <w:t>Bardonecchia</w:t>
                      </w:r>
                      <w:proofErr w:type="spellEnd"/>
                      <w:r w:rsidRPr="00025344">
                        <w:rPr>
                          <w:sz w:val="20"/>
                          <w:lang w:val="en-US"/>
                        </w:rPr>
                        <w:t xml:space="preserve"> – Torino journey</w:t>
                      </w:r>
                    </w:p>
                  </w:txbxContent>
                </v:textbox>
                <w10:wrap type="square" anchorx="margin" anchory="margin"/>
              </v:shape>
            </w:pict>
          </mc:Fallback>
        </mc:AlternateContent>
      </w:r>
      <w:r w:rsidR="00A90938" w:rsidRPr="00A90938">
        <w:rPr>
          <w:noProof/>
          <w:lang w:val="en-US" w:eastAsia="it-IT" w:bidi="ar-SA"/>
        </w:rPr>
        <w:t>\</w:t>
      </w:r>
    </w:p>
    <w:p w14:paraId="67AED2B2" w14:textId="574EEAE9" w:rsidR="002123C1" w:rsidRPr="00597FCF" w:rsidRDefault="003415BB" w:rsidP="00F428F6">
      <w:pPr>
        <w:pStyle w:val="Bodytextfirst"/>
        <w:rPr>
          <w:lang w:val="en-US"/>
        </w:rPr>
      </w:pPr>
      <w:r w:rsidRPr="00597FCF">
        <w:rPr>
          <w:lang w:val="en-US"/>
        </w:rPr>
        <w:t xml:space="preserve">An example of voltage dip that can be used for the characterization of the dip detection system is shown in </w:t>
      </w:r>
      <w:r w:rsidRPr="00597FCF">
        <w:rPr>
          <w:lang w:val="en-US"/>
        </w:rPr>
        <w:fldChar w:fldCharType="begin"/>
      </w:r>
      <w:r w:rsidRPr="00597FCF">
        <w:rPr>
          <w:lang w:val="en-US"/>
        </w:rPr>
        <w:instrText xml:space="preserve"> REF _Ref35606323 \h </w:instrText>
      </w:r>
      <w:r w:rsidR="00597FCF">
        <w:rPr>
          <w:lang w:val="en-US"/>
        </w:rPr>
        <w:instrText xml:space="preserve"> \* MERGEFORMAT </w:instrText>
      </w:r>
      <w:r w:rsidRPr="00597FCF">
        <w:rPr>
          <w:lang w:val="en-US"/>
        </w:rPr>
      </w:r>
      <w:r w:rsidRPr="00597FCF">
        <w:rPr>
          <w:lang w:val="en-US"/>
        </w:rPr>
        <w:fldChar w:fldCharType="separate"/>
      </w:r>
      <w:r w:rsidR="001315EA" w:rsidRPr="001315EA">
        <w:rPr>
          <w:lang w:val="en-US"/>
        </w:rPr>
        <w:t xml:space="preserve">Fig. </w:t>
      </w:r>
      <w:r w:rsidR="001315EA" w:rsidRPr="001315EA">
        <w:rPr>
          <w:noProof/>
          <w:lang w:val="en-US"/>
        </w:rPr>
        <w:t>5</w:t>
      </w:r>
      <w:r w:rsidRPr="00597FCF">
        <w:rPr>
          <w:lang w:val="en-US"/>
        </w:rPr>
        <w:fldChar w:fldCharType="end"/>
      </w:r>
      <w:r w:rsidRPr="00597FCF">
        <w:rPr>
          <w:lang w:val="en-US"/>
        </w:rPr>
        <w:t xml:space="preserve">. </w:t>
      </w:r>
    </w:p>
    <w:p w14:paraId="0D5FF586" w14:textId="029D22E1" w:rsidR="00115359" w:rsidRPr="00597FCF" w:rsidRDefault="002123C1" w:rsidP="00F428F6">
      <w:pPr>
        <w:pStyle w:val="Bodytextfirst"/>
        <w:rPr>
          <w:lang w:val="en-US"/>
        </w:rPr>
      </w:pPr>
      <w:r w:rsidRPr="00597FCF">
        <w:rPr>
          <w:noProof/>
          <w:lang w:eastAsia="it-IT" w:bidi="ar-SA"/>
        </w:rPr>
        <mc:AlternateContent>
          <mc:Choice Requires="wps">
            <w:drawing>
              <wp:anchor distT="0" distB="0" distL="114300" distR="114300" simplePos="0" relativeHeight="251655680" behindDoc="0" locked="0" layoutInCell="1" allowOverlap="1" wp14:anchorId="25F4547B" wp14:editId="475F80F3">
                <wp:simplePos x="0" y="0"/>
                <wp:positionH relativeFrom="margin">
                  <wp:posOffset>-2034</wp:posOffset>
                </wp:positionH>
                <wp:positionV relativeFrom="margin">
                  <wp:posOffset>-358</wp:posOffset>
                </wp:positionV>
                <wp:extent cx="2776220" cy="2329180"/>
                <wp:effectExtent l="0" t="0" r="5080" b="0"/>
                <wp:wrapSquare wrapText="bothSides"/>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6220" cy="23291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4B5841" w14:textId="77777777" w:rsidR="0095781E" w:rsidRDefault="0087782C" w:rsidP="008E5EEC">
                            <w:pPr>
                              <w:keepNext/>
                              <w:jc w:val="center"/>
                            </w:pPr>
                            <w:r w:rsidRPr="001E24A2">
                              <w:rPr>
                                <w:noProof/>
                                <w:lang w:eastAsia="it-IT" w:bidi="ar-SA"/>
                              </w:rPr>
                              <w:drawing>
                                <wp:inline distT="0" distB="0" distL="0" distR="0" wp14:anchorId="5D5121B3" wp14:editId="0C86C54B">
                                  <wp:extent cx="2593074" cy="1949671"/>
                                  <wp:effectExtent l="0" t="0" r="0" b="0"/>
                                  <wp:docPr id="1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96376" cy="1952154"/>
                                          </a:xfrm>
                                          <a:prstGeom prst="rect">
                                            <a:avLst/>
                                          </a:prstGeom>
                                          <a:noFill/>
                                          <a:ln>
                                            <a:noFill/>
                                          </a:ln>
                                        </pic:spPr>
                                      </pic:pic>
                                    </a:graphicData>
                                  </a:graphic>
                                </wp:inline>
                              </w:drawing>
                            </w:r>
                          </w:p>
                          <w:p w14:paraId="7785978B" w14:textId="14660637" w:rsidR="0095781E" w:rsidRDefault="0095781E" w:rsidP="0095781E">
                            <w:pPr>
                              <w:pStyle w:val="Didascalia"/>
                            </w:pPr>
                            <w:bookmarkStart w:id="4" w:name="_Ref35606323"/>
                            <w:r w:rsidRPr="00F312BC">
                              <w:rPr>
                                <w:sz w:val="20"/>
                              </w:rPr>
                              <w:t xml:space="preserve">Fig. </w:t>
                            </w:r>
                            <w:r w:rsidRPr="00F312BC">
                              <w:rPr>
                                <w:sz w:val="20"/>
                              </w:rPr>
                              <w:fldChar w:fldCharType="begin"/>
                            </w:r>
                            <w:r w:rsidRPr="00F312BC">
                              <w:rPr>
                                <w:sz w:val="20"/>
                              </w:rPr>
                              <w:instrText xml:space="preserve"> SEQ Fig. \* ARABIC </w:instrText>
                            </w:r>
                            <w:r w:rsidRPr="00F312BC">
                              <w:rPr>
                                <w:sz w:val="20"/>
                              </w:rPr>
                              <w:fldChar w:fldCharType="separate"/>
                            </w:r>
                            <w:r w:rsidR="001315EA">
                              <w:rPr>
                                <w:noProof/>
                                <w:sz w:val="20"/>
                              </w:rPr>
                              <w:t>5</w:t>
                            </w:r>
                            <w:r w:rsidRPr="00F312BC">
                              <w:rPr>
                                <w:sz w:val="20"/>
                              </w:rPr>
                              <w:fldChar w:fldCharType="end"/>
                            </w:r>
                            <w:bookmarkEnd w:id="4"/>
                            <w:r>
                              <w:rPr>
                                <w:sz w:val="20"/>
                              </w:rPr>
                              <w:t>: Voltage dip</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F4547B" id="_x0000_s1030" type="#_x0000_t202" style="position:absolute;left:0;text-align:left;margin-left:-.15pt;margin-top:-.05pt;width:218.6pt;height:183.4pt;z-index:251655680;visibility:visible;mso-wrap-style:non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" stroked="f">
                <v:textbox>
                  <w:txbxContent>
                    <w:p w14:paraId="3A4B5841" w14:textId="77777777" w:rsidR="0095781E" w:rsidRDefault="0087782C" w:rsidP="008E5EEC">
                      <w:pPr>
                        <w:keepNext/>
                        <w:jc w:val="center"/>
                      </w:pPr>
                      <w:r w:rsidRPr="001E24A2">
                        <w:rPr>
                          <w:noProof/>
                          <w:lang w:eastAsia="it-IT" w:bidi="ar-SA"/>
                        </w:rPr>
                        <w:drawing>
                          <wp:inline distT="0" distB="0" distL="0" distR="0" wp14:anchorId="5D5121B3" wp14:editId="0C86C54B">
                            <wp:extent cx="2593074" cy="1949671"/>
                            <wp:effectExtent l="0" t="0" r="0" b="0"/>
                            <wp:docPr id="1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96376" cy="1952154"/>
                                    </a:xfrm>
                                    <a:prstGeom prst="rect">
                                      <a:avLst/>
                                    </a:prstGeom>
                                    <a:noFill/>
                                    <a:ln>
                                      <a:noFill/>
                                    </a:ln>
                                  </pic:spPr>
                                </pic:pic>
                              </a:graphicData>
                            </a:graphic>
                          </wp:inline>
                        </w:drawing>
                      </w:r>
                    </w:p>
                    <w:p w14:paraId="7785978B" w14:textId="14660637" w:rsidR="0095781E" w:rsidRDefault="0095781E" w:rsidP="0095781E">
                      <w:pPr>
                        <w:pStyle w:val="Didascalia"/>
                      </w:pPr>
                      <w:bookmarkStart w:id="10" w:name="_Ref35606323"/>
                      <w:r w:rsidRPr="00F312BC">
                        <w:rPr>
                          <w:sz w:val="20"/>
                        </w:rPr>
                        <w:t xml:space="preserve">Fig. </w:t>
                      </w:r>
                      <w:r w:rsidRPr="00F312BC">
                        <w:rPr>
                          <w:sz w:val="20"/>
                        </w:rPr>
                        <w:fldChar w:fldCharType="begin"/>
                      </w:r>
                      <w:r w:rsidRPr="00F312BC">
                        <w:rPr>
                          <w:sz w:val="20"/>
                        </w:rPr>
                        <w:instrText xml:space="preserve"> SEQ Fig. \* ARABIC </w:instrText>
                      </w:r>
                      <w:r w:rsidRPr="00F312BC">
                        <w:rPr>
                          <w:sz w:val="20"/>
                        </w:rPr>
                        <w:fldChar w:fldCharType="separate"/>
                      </w:r>
                      <w:r w:rsidR="001315EA">
                        <w:rPr>
                          <w:noProof/>
                          <w:sz w:val="20"/>
                        </w:rPr>
                        <w:t>5</w:t>
                      </w:r>
                      <w:r w:rsidRPr="00F312BC">
                        <w:rPr>
                          <w:sz w:val="20"/>
                        </w:rPr>
                        <w:fldChar w:fldCharType="end"/>
                      </w:r>
                      <w:bookmarkEnd w:id="10"/>
                      <w:r>
                        <w:rPr>
                          <w:sz w:val="20"/>
                        </w:rPr>
                        <w:t>: Voltage dip</w:t>
                      </w:r>
                    </w:p>
                  </w:txbxContent>
                </v:textbox>
                <w10:wrap type="square" anchorx="margin" anchory="margin"/>
              </v:shape>
            </w:pict>
          </mc:Fallback>
        </mc:AlternateContent>
      </w:r>
      <w:r w:rsidR="007911B7" w:rsidRPr="00597FCF">
        <w:rPr>
          <w:lang w:val="en-US"/>
        </w:rPr>
        <w:t>During the traction phase, due to a fault in the power supply system, a voltage drop occurs. Apparently, in this condition the power supply system cannot sustain an increase in the absorbed power, therefore in the following traction the system turned off.</w:t>
      </w:r>
    </w:p>
    <w:p w14:paraId="6507EA7B" w14:textId="07B86CAC" w:rsidR="00025344" w:rsidRPr="00EF4569" w:rsidRDefault="004A2459" w:rsidP="000F44DB">
      <w:pPr>
        <w:pStyle w:val="Bodytextfirst"/>
        <w:rPr>
          <w:lang w:val="en-US"/>
        </w:rPr>
      </w:pPr>
      <w:r w:rsidRPr="00597FCF">
        <w:rPr>
          <w:noProof/>
          <w:lang w:eastAsia="it-IT" w:bidi="ar-SA"/>
        </w:rPr>
        <mc:AlternateContent>
          <mc:Choice Requires="wps">
            <w:drawing>
              <wp:anchor distT="0" distB="0" distL="114300" distR="114300" simplePos="0" relativeHeight="251667968" behindDoc="0" locked="0" layoutInCell="1" allowOverlap="1" wp14:anchorId="6809F731" wp14:editId="00FC5CE1">
                <wp:simplePos x="0" y="0"/>
                <wp:positionH relativeFrom="margin">
                  <wp:posOffset>-4098</wp:posOffset>
                </wp:positionH>
                <wp:positionV relativeFrom="margin">
                  <wp:posOffset>6063747</wp:posOffset>
                </wp:positionV>
                <wp:extent cx="2926715" cy="2256790"/>
                <wp:effectExtent l="0" t="0" r="6985" b="0"/>
                <wp:wrapSquare wrapText="bothSides"/>
                <wp:docPr id="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6715" cy="22567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FEFCDB3" w14:textId="77777777" w:rsidR="0087007E" w:rsidRDefault="0087007E" w:rsidP="0087007E">
                            <w:pPr>
                              <w:keepNext/>
                            </w:pPr>
                            <w:r>
                              <w:rPr>
                                <w:noProof/>
                                <w:lang w:eastAsia="it-IT" w:bidi="ar-SA"/>
                              </w:rPr>
                              <w:drawing>
                                <wp:inline distT="0" distB="0" distL="0" distR="0" wp14:anchorId="6A98A725" wp14:editId="7D5137FD">
                                  <wp:extent cx="2743200" cy="1939925"/>
                                  <wp:effectExtent l="0" t="0" r="0" b="0"/>
                                  <wp:docPr id="1" name="Picture 4" descr="arc_t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rc_traction"/>
                                          <pic:cNvPicPr>
                                            <a:picLocks noChangeAspect="1" noChangeArrowheads="1"/>
                                          </pic:cNvPicPr>
                                        </pic:nvPicPr>
                                        <pic:blipFill>
                                          <a:blip r:embed="rId19">
                                            <a:extLst>
                                              <a:ext uri="{28A0092B-C50C-407E-A947-70E740481C1C}">
                                                <a14:useLocalDpi xmlns:a14="http://schemas.microsoft.com/office/drawing/2010/main" val="0"/>
                                              </a:ext>
                                            </a:extLst>
                                          </a:blip>
                                          <a:srcRect t="5455"/>
                                          <a:stretch>
                                            <a:fillRect/>
                                          </a:stretch>
                                        </pic:blipFill>
                                        <pic:spPr bwMode="auto">
                                          <a:xfrm>
                                            <a:off x="0" y="0"/>
                                            <a:ext cx="2743200" cy="1939925"/>
                                          </a:xfrm>
                                          <a:prstGeom prst="rect">
                                            <a:avLst/>
                                          </a:prstGeom>
                                          <a:noFill/>
                                          <a:ln>
                                            <a:noFill/>
                                          </a:ln>
                                        </pic:spPr>
                                      </pic:pic>
                                    </a:graphicData>
                                  </a:graphic>
                                </wp:inline>
                              </w:drawing>
                            </w:r>
                          </w:p>
                          <w:p w14:paraId="4DB309FE" w14:textId="68BAE488" w:rsidR="0087007E" w:rsidRPr="009E5C79" w:rsidRDefault="0087007E" w:rsidP="0087007E">
                            <w:pPr>
                              <w:pStyle w:val="Didascalia"/>
                              <w:rPr>
                                <w:lang w:val="en-US"/>
                              </w:rPr>
                            </w:pPr>
                            <w:bookmarkStart w:id="5" w:name="_Ref36045871"/>
                            <w:r w:rsidRPr="009E5C79">
                              <w:rPr>
                                <w:sz w:val="20"/>
                                <w:lang w:val="en-US"/>
                              </w:rPr>
                              <w:t xml:space="preserve">Fig. </w:t>
                            </w:r>
                            <w:r w:rsidRPr="00F312BC">
                              <w:rPr>
                                <w:sz w:val="20"/>
                              </w:rPr>
                              <w:fldChar w:fldCharType="begin"/>
                            </w:r>
                            <w:r w:rsidRPr="009E5C79">
                              <w:rPr>
                                <w:sz w:val="20"/>
                                <w:lang w:val="en-US"/>
                              </w:rPr>
                              <w:instrText xml:space="preserve"> SEQ Fig. \* ARABIC </w:instrText>
                            </w:r>
                            <w:r w:rsidRPr="00F312BC">
                              <w:rPr>
                                <w:sz w:val="20"/>
                              </w:rPr>
                              <w:fldChar w:fldCharType="separate"/>
                            </w:r>
                            <w:r w:rsidR="001315EA">
                              <w:rPr>
                                <w:noProof/>
                                <w:sz w:val="20"/>
                                <w:lang w:val="en-US"/>
                              </w:rPr>
                              <w:t>6</w:t>
                            </w:r>
                            <w:r w:rsidRPr="00F312BC">
                              <w:rPr>
                                <w:sz w:val="20"/>
                              </w:rPr>
                              <w:fldChar w:fldCharType="end"/>
                            </w:r>
                            <w:bookmarkEnd w:id="5"/>
                            <w:r w:rsidRPr="009E5C79">
                              <w:rPr>
                                <w:sz w:val="20"/>
                                <w:lang w:val="en-US"/>
                              </w:rPr>
                              <w:t>: Electric arc during the traction phase</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09F731" id="Text Box 11" o:spid="_x0000_s1031" type="#_x0000_t202" style="position:absolute;left:0;text-align:left;margin-left:-.3pt;margin-top:477.45pt;width:230.45pt;height:177.7pt;z-index:251667968;visibility:visible;mso-wrap-style:non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" stroked="f">
                <v:textbox>
                  <w:txbxContent>
                    <w:p w14:paraId="1FEFCDB3" w14:textId="77777777" w:rsidR="0087007E" w:rsidRDefault="0087007E" w:rsidP="0087007E">
                      <w:pPr>
                        <w:keepNext/>
                      </w:pPr>
                      <w:r>
                        <w:rPr>
                          <w:noProof/>
                          <w:lang w:eastAsia="it-IT" w:bidi="ar-SA"/>
                        </w:rPr>
                        <w:drawing>
                          <wp:inline distT="0" distB="0" distL="0" distR="0" wp14:anchorId="6A98A725" wp14:editId="7D5137FD">
                            <wp:extent cx="2743200" cy="1939925"/>
                            <wp:effectExtent l="0" t="0" r="0" b="0"/>
                            <wp:docPr id="1" name="Picture 4" descr="arc_t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rc_traction"/>
                                    <pic:cNvPicPr>
                                      <a:picLocks noChangeAspect="1" noChangeArrowheads="1"/>
                                    </pic:cNvPicPr>
                                  </pic:nvPicPr>
                                  <pic:blipFill>
                                    <a:blip r:embed="rId20">
                                      <a:extLst>
                                        <a:ext uri="{28A0092B-C50C-407E-A947-70E740481C1C}">
                                          <a14:useLocalDpi xmlns:a14="http://schemas.microsoft.com/office/drawing/2010/main" val="0"/>
                                        </a:ext>
                                      </a:extLst>
                                    </a:blip>
                                    <a:srcRect t="5455"/>
                                    <a:stretch>
                                      <a:fillRect/>
                                    </a:stretch>
                                  </pic:blipFill>
                                  <pic:spPr bwMode="auto">
                                    <a:xfrm>
                                      <a:off x="0" y="0"/>
                                      <a:ext cx="2743200" cy="1939925"/>
                                    </a:xfrm>
                                    <a:prstGeom prst="rect">
                                      <a:avLst/>
                                    </a:prstGeom>
                                    <a:noFill/>
                                    <a:ln>
                                      <a:noFill/>
                                    </a:ln>
                                  </pic:spPr>
                                </pic:pic>
                              </a:graphicData>
                            </a:graphic>
                          </wp:inline>
                        </w:drawing>
                      </w:r>
                    </w:p>
                    <w:p w14:paraId="4DB309FE" w14:textId="68BAE488" w:rsidR="0087007E" w:rsidRPr="009E5C79" w:rsidRDefault="0087007E" w:rsidP="0087007E">
                      <w:pPr>
                        <w:pStyle w:val="Didascalia"/>
                        <w:rPr>
                          <w:lang w:val="en-US"/>
                        </w:rPr>
                      </w:pPr>
                      <w:bookmarkStart w:id="12" w:name="_Ref36045871"/>
                      <w:r w:rsidRPr="009E5C79">
                        <w:rPr>
                          <w:sz w:val="20"/>
                          <w:lang w:val="en-US"/>
                        </w:rPr>
                        <w:t xml:space="preserve">Fig. </w:t>
                      </w:r>
                      <w:r w:rsidRPr="00F312BC">
                        <w:rPr>
                          <w:sz w:val="20"/>
                        </w:rPr>
                        <w:fldChar w:fldCharType="begin"/>
                      </w:r>
                      <w:r w:rsidRPr="009E5C79">
                        <w:rPr>
                          <w:sz w:val="20"/>
                          <w:lang w:val="en-US"/>
                        </w:rPr>
                        <w:instrText xml:space="preserve"> SEQ Fig. \* ARABIC </w:instrText>
                      </w:r>
                      <w:r w:rsidRPr="00F312BC">
                        <w:rPr>
                          <w:sz w:val="20"/>
                        </w:rPr>
                        <w:fldChar w:fldCharType="separate"/>
                      </w:r>
                      <w:r w:rsidR="001315EA">
                        <w:rPr>
                          <w:noProof/>
                          <w:sz w:val="20"/>
                          <w:lang w:val="en-US"/>
                        </w:rPr>
                        <w:t>6</w:t>
                      </w:r>
                      <w:r w:rsidRPr="00F312BC">
                        <w:rPr>
                          <w:sz w:val="20"/>
                        </w:rPr>
                        <w:fldChar w:fldCharType="end"/>
                      </w:r>
                      <w:bookmarkEnd w:id="12"/>
                      <w:r w:rsidRPr="009E5C79">
                        <w:rPr>
                          <w:sz w:val="20"/>
                          <w:lang w:val="en-US"/>
                        </w:rPr>
                        <w:t>: Electric arc during the traction phase</w:t>
                      </w:r>
                    </w:p>
                  </w:txbxContent>
                </v:textbox>
                <w10:wrap type="square" anchorx="margin" anchory="margin"/>
              </v:shape>
            </w:pict>
          </mc:Fallback>
        </mc:AlternateContent>
      </w:r>
      <w:r w:rsidR="008E4276" w:rsidRPr="00597FCF">
        <w:rPr>
          <w:lang w:val="en-US"/>
        </w:rPr>
        <w:t>A power quality phenomenon common in the railway world is the electric arc, predominant at high speeds and with low temperatures characterizing the winter periods. Due to the high arc temperature, the overhead contact line can be damaged and deteriorate in performance over time. Furthermore, the sudden voltage variations trigger transients and strong harmonic distortions on the current due to the input filter of the locomotives</w:t>
      </w:r>
      <w:r w:rsidR="008E5EEC" w:rsidRPr="00597FCF">
        <w:rPr>
          <w:lang w:val="en-US"/>
        </w:rPr>
        <w:t xml:space="preserve"> as shown in</w:t>
      </w:r>
      <w:r w:rsidRPr="00597FCF">
        <w:rPr>
          <w:lang w:val="en-US"/>
        </w:rPr>
        <w:t xml:space="preserve"> </w:t>
      </w:r>
      <w:r w:rsidRPr="00597FCF">
        <w:rPr>
          <w:lang w:val="en-US"/>
        </w:rPr>
        <w:fldChar w:fldCharType="begin"/>
      </w:r>
      <w:r w:rsidRPr="00597FCF">
        <w:rPr>
          <w:lang w:val="en-US"/>
        </w:rPr>
        <w:instrText xml:space="preserve"> REF _Ref36045871 \h </w:instrText>
      </w:r>
      <w:r w:rsidR="00597FCF">
        <w:rPr>
          <w:lang w:val="en-US"/>
        </w:rPr>
        <w:instrText xml:space="preserve"> \* MERGEFORMAT </w:instrText>
      </w:r>
      <w:r w:rsidRPr="00597FCF">
        <w:rPr>
          <w:lang w:val="en-US"/>
        </w:rPr>
      </w:r>
      <w:r w:rsidRPr="00597FCF">
        <w:rPr>
          <w:lang w:val="en-US"/>
        </w:rPr>
        <w:fldChar w:fldCharType="separate"/>
      </w:r>
      <w:r w:rsidR="001315EA" w:rsidRPr="009E5C79">
        <w:rPr>
          <w:lang w:val="en-US"/>
        </w:rPr>
        <w:t xml:space="preserve">Fig. </w:t>
      </w:r>
      <w:r w:rsidR="001315EA">
        <w:rPr>
          <w:noProof/>
          <w:lang w:val="en-US"/>
        </w:rPr>
        <w:t>6</w:t>
      </w:r>
      <w:r w:rsidRPr="00597FCF">
        <w:rPr>
          <w:lang w:val="en-US"/>
        </w:rPr>
        <w:fldChar w:fldCharType="end"/>
      </w:r>
      <w:r w:rsidR="00D346C2" w:rsidRPr="00597FCF">
        <w:rPr>
          <w:lang w:val="en-US"/>
        </w:rPr>
        <w:t xml:space="preserve"> </w:t>
      </w:r>
      <w:r w:rsidR="00D346C2" w:rsidRPr="00597FCF">
        <w:rPr>
          <w:lang w:val="en-US"/>
        </w:rPr>
        <w:fldChar w:fldCharType="begin"/>
      </w:r>
      <w:r w:rsidR="00D346C2" w:rsidRPr="00597FCF">
        <w:rPr>
          <w:lang w:val="en-US"/>
        </w:rPr>
        <w:instrText xml:space="preserve"> REF _Ref38988520 \r \h </w:instrText>
      </w:r>
      <w:r w:rsidR="00597FCF">
        <w:rPr>
          <w:lang w:val="en-US"/>
        </w:rPr>
        <w:instrText xml:space="preserve"> \* MERGEFORMAT </w:instrText>
      </w:r>
      <w:r w:rsidR="00D346C2" w:rsidRPr="00597FCF">
        <w:rPr>
          <w:lang w:val="en-US"/>
        </w:rPr>
      </w:r>
      <w:r w:rsidR="00D346C2" w:rsidRPr="00597FCF">
        <w:rPr>
          <w:lang w:val="en-US"/>
        </w:rPr>
        <w:fldChar w:fldCharType="separate"/>
      </w:r>
      <w:r w:rsidR="001315EA">
        <w:rPr>
          <w:lang w:val="en-US"/>
        </w:rPr>
        <w:t>[7]</w:t>
      </w:r>
      <w:r w:rsidR="00D346C2" w:rsidRPr="00597FCF">
        <w:rPr>
          <w:lang w:val="en-US"/>
        </w:rPr>
        <w:fldChar w:fldCharType="end"/>
      </w:r>
      <w:r w:rsidR="008E5EEC" w:rsidRPr="00597FCF">
        <w:rPr>
          <w:lang w:val="en-US"/>
        </w:rPr>
        <w:t>.</w:t>
      </w:r>
      <w:r w:rsidR="009678F8" w:rsidRPr="00597FCF">
        <w:rPr>
          <w:lang w:val="en-US"/>
        </w:rPr>
        <w:t xml:space="preserve"> </w:t>
      </w:r>
      <w:r w:rsidR="00650405" w:rsidRPr="00597FCF">
        <w:rPr>
          <w:lang w:val="en-US"/>
        </w:rPr>
        <w:t>The</w:t>
      </w:r>
      <w:r w:rsidR="009678F8" w:rsidRPr="00597FCF">
        <w:rPr>
          <w:lang w:val="en-US"/>
        </w:rPr>
        <w:t xml:space="preserve"> problem of </w:t>
      </w:r>
      <w:r w:rsidR="008E4276" w:rsidRPr="00597FCF">
        <w:rPr>
          <w:lang w:val="en-US"/>
        </w:rPr>
        <w:t xml:space="preserve">emissions </w:t>
      </w:r>
      <w:r w:rsidR="00650405" w:rsidRPr="00597FCF">
        <w:rPr>
          <w:lang w:val="en-US"/>
        </w:rPr>
        <w:t xml:space="preserve">provided by the current transient </w:t>
      </w:r>
      <w:r w:rsidR="009678F8" w:rsidRPr="00597FCF">
        <w:rPr>
          <w:lang w:val="en-US"/>
        </w:rPr>
        <w:t xml:space="preserve">is </w:t>
      </w:r>
      <w:r w:rsidR="002A2864" w:rsidRPr="00597FCF">
        <w:rPr>
          <w:lang w:val="en-US"/>
        </w:rPr>
        <w:t>acute because these</w:t>
      </w:r>
      <w:r w:rsidR="009678F8" w:rsidRPr="00597FCF">
        <w:rPr>
          <w:lang w:val="en-US"/>
        </w:rPr>
        <w:t xml:space="preserve"> </w:t>
      </w:r>
      <w:r w:rsidR="008E4276" w:rsidRPr="00597FCF">
        <w:rPr>
          <w:lang w:val="en-US"/>
        </w:rPr>
        <w:t>can interfere with the signaling system</w:t>
      </w:r>
      <w:r w:rsidR="002A2864" w:rsidRPr="00597FCF">
        <w:rPr>
          <w:lang w:val="en-US"/>
        </w:rPr>
        <w:t xml:space="preserve">, to such an extent that the infrastructure manager establishes the limits for the harmonic content. Therefore, a facility that emulates real waveform with such particular </w:t>
      </w:r>
      <w:r w:rsidR="002A2864" w:rsidRPr="00EF4569">
        <w:rPr>
          <w:lang w:val="en-US"/>
        </w:rPr>
        <w:t>characteristic could be very useful in this context</w:t>
      </w:r>
      <w:r w:rsidR="00D346C2" w:rsidRPr="00EF4569">
        <w:rPr>
          <w:lang w:val="en-US"/>
        </w:rPr>
        <w:t xml:space="preserve"> </w:t>
      </w:r>
      <w:r w:rsidR="00D346C2" w:rsidRPr="00EF4569">
        <w:rPr>
          <w:lang w:val="en-US"/>
        </w:rPr>
        <w:fldChar w:fldCharType="begin"/>
      </w:r>
      <w:r w:rsidR="00D346C2" w:rsidRPr="00EF4569">
        <w:rPr>
          <w:lang w:val="en-US"/>
        </w:rPr>
        <w:instrText xml:space="preserve"> REF _Ref38988702 \r \h </w:instrText>
      </w:r>
      <w:r w:rsidR="00597FCF" w:rsidRPr="00EF4569">
        <w:rPr>
          <w:lang w:val="en-US"/>
        </w:rPr>
        <w:instrText xml:space="preserve"> \* MERGEFORMAT </w:instrText>
      </w:r>
      <w:r w:rsidR="00D346C2" w:rsidRPr="00EF4569">
        <w:rPr>
          <w:lang w:val="en-US"/>
        </w:rPr>
      </w:r>
      <w:r w:rsidR="00D346C2" w:rsidRPr="00EF4569">
        <w:rPr>
          <w:lang w:val="en-US"/>
        </w:rPr>
        <w:fldChar w:fldCharType="separate"/>
      </w:r>
      <w:r w:rsidR="001315EA" w:rsidRPr="00EF4569">
        <w:rPr>
          <w:lang w:val="en-US"/>
        </w:rPr>
        <w:t>[8]</w:t>
      </w:r>
      <w:r w:rsidR="00D346C2" w:rsidRPr="00EF4569">
        <w:rPr>
          <w:lang w:val="en-US"/>
        </w:rPr>
        <w:fldChar w:fldCharType="end"/>
      </w:r>
      <w:r w:rsidR="008E4276" w:rsidRPr="00EF4569">
        <w:rPr>
          <w:lang w:val="en-US"/>
        </w:rPr>
        <w:t>.</w:t>
      </w:r>
      <w:r w:rsidR="00836BAF" w:rsidRPr="00EF4569">
        <w:rPr>
          <w:lang w:val="en-US"/>
        </w:rPr>
        <w:t xml:space="preserve"> </w:t>
      </w:r>
    </w:p>
    <w:p w14:paraId="355ACDBA" w14:textId="51C31466" w:rsidR="008E4276" w:rsidRPr="00EF4569" w:rsidRDefault="006A4BA1" w:rsidP="000F44DB">
      <w:pPr>
        <w:pStyle w:val="Bodytextfirst"/>
        <w:rPr>
          <w:lang w:val="en-US"/>
        </w:rPr>
      </w:pPr>
      <w:r w:rsidRPr="00EF4569">
        <w:rPr>
          <w:lang w:val="en-US"/>
        </w:rPr>
        <w:t>Another power quality phenomenon that characterizes the railway system</w:t>
      </w:r>
      <w:r w:rsidR="000F44DB" w:rsidRPr="00EF4569">
        <w:rPr>
          <w:lang w:val="en-US"/>
        </w:rPr>
        <w:t xml:space="preserve"> is the voltage ripple (300 Hz for AC grid at 50 Hz power frequency) which is due to the AC / DC conversion stage in the substation. </w:t>
      </w:r>
      <w:r w:rsidR="00AD2C51" w:rsidRPr="00EF4569">
        <w:rPr>
          <w:lang w:val="en-US"/>
        </w:rPr>
        <w:fldChar w:fldCharType="begin"/>
      </w:r>
      <w:r w:rsidR="00AD2C51" w:rsidRPr="00EF4569">
        <w:rPr>
          <w:lang w:val="en-US"/>
        </w:rPr>
        <w:instrText xml:space="preserve"> REF _Ref46226578 \h </w:instrText>
      </w:r>
      <w:r w:rsidR="00AD2C51" w:rsidRPr="00EF4569">
        <w:rPr>
          <w:lang w:val="en-US"/>
        </w:rPr>
      </w:r>
      <w:r w:rsidR="00AD2C51" w:rsidRPr="00EF4569">
        <w:rPr>
          <w:lang w:val="en-US"/>
        </w:rPr>
        <w:fldChar w:fldCharType="separate"/>
      </w:r>
      <w:r w:rsidR="001315EA" w:rsidRPr="00EF4569">
        <w:rPr>
          <w:lang w:val="en-US"/>
        </w:rPr>
        <w:t xml:space="preserve">Fig. </w:t>
      </w:r>
      <w:r w:rsidR="001315EA" w:rsidRPr="00EF4569">
        <w:rPr>
          <w:noProof/>
          <w:lang w:val="en-US"/>
        </w:rPr>
        <w:t>4</w:t>
      </w:r>
      <w:r w:rsidR="00AD2C51" w:rsidRPr="00EF4569">
        <w:rPr>
          <w:lang w:val="en-US"/>
        </w:rPr>
        <w:fldChar w:fldCharType="end"/>
      </w:r>
      <w:r w:rsidR="00AD2C51" w:rsidRPr="00EF4569">
        <w:rPr>
          <w:lang w:val="en-US"/>
        </w:rPr>
        <w:t xml:space="preserve"> </w:t>
      </w:r>
      <w:r w:rsidR="000F44DB" w:rsidRPr="00EF4569">
        <w:rPr>
          <w:lang w:val="en-US"/>
        </w:rPr>
        <w:t xml:space="preserve">shows an actual ripple measured during the </w:t>
      </w:r>
      <w:proofErr w:type="spellStart"/>
      <w:r w:rsidR="000F44DB" w:rsidRPr="00EF4569">
        <w:rPr>
          <w:lang w:val="en-US"/>
        </w:rPr>
        <w:t>Bardonecchia</w:t>
      </w:r>
      <w:proofErr w:type="spellEnd"/>
      <w:r w:rsidR="000F44DB" w:rsidRPr="00EF4569">
        <w:rPr>
          <w:lang w:val="en-US"/>
        </w:rPr>
        <w:t xml:space="preserve"> - Turin route. By the means of a generation system able to reproduce actual waveforms, this phenomenon could be reproduced in laboratory and its effects on the performances of the on board train instrumentation are analyzed.</w:t>
      </w:r>
    </w:p>
    <w:p w14:paraId="2CCD3557" w14:textId="190D692D" w:rsidR="00A07E24" w:rsidRPr="00EF4569" w:rsidRDefault="00AD2C51" w:rsidP="000F44DB">
      <w:pPr>
        <w:pStyle w:val="Bodytextfirst"/>
        <w:rPr>
          <w:lang w:val="en-US"/>
        </w:rPr>
      </w:pPr>
      <w:r w:rsidRPr="00EF4569">
        <w:rPr>
          <w:noProof/>
          <w:lang w:eastAsia="it-IT" w:bidi="ar-SA"/>
        </w:rPr>
        <mc:AlternateContent>
          <mc:Choice Requires="wps">
            <w:drawing>
              <wp:anchor distT="0" distB="0" distL="114300" distR="114300" simplePos="0" relativeHeight="251672064" behindDoc="0" locked="0" layoutInCell="1" allowOverlap="1" wp14:anchorId="70E2114A" wp14:editId="164BCB4D">
                <wp:simplePos x="0" y="0"/>
                <wp:positionH relativeFrom="margin">
                  <wp:align>right</wp:align>
                </wp:positionH>
                <wp:positionV relativeFrom="margin">
                  <wp:posOffset>6010910</wp:posOffset>
                </wp:positionV>
                <wp:extent cx="2952115" cy="2295525"/>
                <wp:effectExtent l="0" t="0" r="635" b="9525"/>
                <wp:wrapSquare wrapText="bothSides"/>
                <wp:docPr id="14"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2115" cy="22955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C12AA51" w14:textId="51C1BCD7" w:rsidR="00AD2C51" w:rsidRDefault="00AD2C51" w:rsidP="00AD2C51">
                            <w:pPr>
                              <w:keepNext/>
                              <w:ind w:left="142" w:right="97"/>
                              <w:jc w:val="center"/>
                            </w:pPr>
                            <w:r>
                              <w:rPr>
                                <w:noProof/>
                                <w:lang w:eastAsia="it-IT" w:bidi="ar-SA"/>
                              </w:rPr>
                              <w:drawing>
                                <wp:inline distT="0" distB="0" distL="0" distR="0" wp14:anchorId="107676D3" wp14:editId="5839C15A">
                                  <wp:extent cx="2754439" cy="1971675"/>
                                  <wp:effectExtent l="0" t="0" r="8255" b="0"/>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over_voltage.emf"/>
                                          <pic:cNvPicPr/>
                                        </pic:nvPicPr>
                                        <pic:blipFill rotWithShape="1">
                                          <a:blip r:embed="rId21">
                                            <a:extLst>
                                              <a:ext uri="{28A0092B-C50C-407E-A947-70E740481C1C}">
                                                <a14:useLocalDpi xmlns:a14="http://schemas.microsoft.com/office/drawing/2010/main" val="0"/>
                                              </a:ext>
                                            </a:extLst>
                                          </a:blip>
                                          <a:srcRect t="4537" b="1"/>
                                          <a:stretch/>
                                        </pic:blipFill>
                                        <pic:spPr bwMode="auto">
                                          <a:xfrm>
                                            <a:off x="0" y="0"/>
                                            <a:ext cx="2760325" cy="1975888"/>
                                          </a:xfrm>
                                          <a:prstGeom prst="rect">
                                            <a:avLst/>
                                          </a:prstGeom>
                                          <a:ln>
                                            <a:noFill/>
                                          </a:ln>
                                          <a:extLst>
                                            <a:ext uri="{53640926-AAD7-44D8-BBD7-CCE9431645EC}">
                                              <a14:shadowObscured xmlns:a14="http://schemas.microsoft.com/office/drawing/2010/main"/>
                                            </a:ext>
                                          </a:extLst>
                                        </pic:spPr>
                                      </pic:pic>
                                    </a:graphicData>
                                  </a:graphic>
                                </wp:inline>
                              </w:drawing>
                            </w:r>
                          </w:p>
                          <w:p w14:paraId="331CBAFF" w14:textId="46FF059F" w:rsidR="00AD2C51" w:rsidRPr="00025344" w:rsidRDefault="00AD2C51" w:rsidP="00AD2C51">
                            <w:pPr>
                              <w:pStyle w:val="Didascalia"/>
                              <w:ind w:left="142" w:right="97"/>
                              <w:rPr>
                                <w:lang w:val="en-US"/>
                              </w:rPr>
                            </w:pPr>
                            <w:bookmarkStart w:id="6" w:name="_Ref46226551"/>
                            <w:r w:rsidRPr="00AD2C51">
                              <w:rPr>
                                <w:sz w:val="20"/>
                                <w:lang w:val="en-US"/>
                              </w:rPr>
                              <w:t xml:space="preserve">Fig. </w:t>
                            </w:r>
                            <w:r w:rsidRPr="00F312BC">
                              <w:rPr>
                                <w:sz w:val="20"/>
                              </w:rPr>
                              <w:fldChar w:fldCharType="begin"/>
                            </w:r>
                            <w:r w:rsidRPr="00AD2C51">
                              <w:rPr>
                                <w:sz w:val="20"/>
                                <w:lang w:val="en-US"/>
                              </w:rPr>
                              <w:instrText xml:space="preserve"> SEQ Fig. \* ARABIC </w:instrText>
                            </w:r>
                            <w:r w:rsidRPr="00F312BC">
                              <w:rPr>
                                <w:sz w:val="20"/>
                              </w:rPr>
                              <w:fldChar w:fldCharType="separate"/>
                            </w:r>
                            <w:r w:rsidR="001315EA">
                              <w:rPr>
                                <w:noProof/>
                                <w:sz w:val="20"/>
                                <w:lang w:val="en-US"/>
                              </w:rPr>
                              <w:t>7</w:t>
                            </w:r>
                            <w:r w:rsidRPr="00F312BC">
                              <w:rPr>
                                <w:sz w:val="20"/>
                              </w:rPr>
                              <w:fldChar w:fldCharType="end"/>
                            </w:r>
                            <w:bookmarkEnd w:id="6"/>
                            <w:r w:rsidRPr="00025344">
                              <w:rPr>
                                <w:sz w:val="20"/>
                                <w:lang w:val="en-US"/>
                              </w:rPr>
                              <w:t xml:space="preserve">: </w:t>
                            </w:r>
                            <w:r>
                              <w:rPr>
                                <w:sz w:val="20"/>
                                <w:lang w:val="en-US"/>
                              </w:rPr>
                              <w:t xml:space="preserve">Line voltage during </w:t>
                            </w:r>
                            <w:proofErr w:type="spellStart"/>
                            <w:r w:rsidRPr="00025344">
                              <w:rPr>
                                <w:sz w:val="20"/>
                                <w:lang w:val="en-US"/>
                              </w:rPr>
                              <w:t>B</w:t>
                            </w:r>
                            <w:r>
                              <w:rPr>
                                <w:sz w:val="20"/>
                                <w:lang w:val="en-US"/>
                              </w:rPr>
                              <w:t>ussoleno</w:t>
                            </w:r>
                            <w:proofErr w:type="spellEnd"/>
                            <w:r w:rsidRPr="00025344">
                              <w:rPr>
                                <w:sz w:val="20"/>
                                <w:lang w:val="en-US"/>
                              </w:rPr>
                              <w:t xml:space="preserve"> – Torino</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E2114A" id="_x0000_s1032" type="#_x0000_t202" style="position:absolute;left:0;text-align:left;margin-left:181.25pt;margin-top:473.3pt;width:232.45pt;height:180.75pt;z-index:251672064;visibility:visible;mso-wrap-style:non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" stroked="f">
                <v:textbox>
                  <w:txbxContent>
                    <w:p w14:paraId="3C12AA51" w14:textId="51C1BCD7" w:rsidR="00AD2C51" w:rsidRDefault="00AD2C51" w:rsidP="00AD2C51">
                      <w:pPr>
                        <w:keepNext/>
                        <w:ind w:left="142" w:right="97"/>
                        <w:jc w:val="center"/>
                      </w:pPr>
                      <w:r>
                        <w:rPr>
                          <w:noProof/>
                          <w:lang w:eastAsia="it-IT" w:bidi="ar-SA"/>
                        </w:rPr>
                        <w:drawing>
                          <wp:inline distT="0" distB="0" distL="0" distR="0" wp14:anchorId="107676D3" wp14:editId="5839C15A">
                            <wp:extent cx="2754439" cy="1971675"/>
                            <wp:effectExtent l="0" t="0" r="8255" b="0"/>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over_voltage.emf"/>
                                    <pic:cNvPicPr/>
                                  </pic:nvPicPr>
                                  <pic:blipFill rotWithShape="1">
                                    <a:blip r:embed="rId22">
                                      <a:extLst>
                                        <a:ext uri="{28A0092B-C50C-407E-A947-70E740481C1C}">
                                          <a14:useLocalDpi xmlns:a14="http://schemas.microsoft.com/office/drawing/2010/main" val="0"/>
                                        </a:ext>
                                      </a:extLst>
                                    </a:blip>
                                    <a:srcRect t="4537" b="1"/>
                                    <a:stretch/>
                                  </pic:blipFill>
                                  <pic:spPr bwMode="auto">
                                    <a:xfrm>
                                      <a:off x="0" y="0"/>
                                      <a:ext cx="2760325" cy="1975888"/>
                                    </a:xfrm>
                                    <a:prstGeom prst="rect">
                                      <a:avLst/>
                                    </a:prstGeom>
                                    <a:ln>
                                      <a:noFill/>
                                    </a:ln>
                                    <a:extLst>
                                      <a:ext uri="{53640926-AAD7-44D8-BBD7-CCE9431645EC}">
                                        <a14:shadowObscured xmlns:a14="http://schemas.microsoft.com/office/drawing/2010/main"/>
                                      </a:ext>
                                    </a:extLst>
                                  </pic:spPr>
                                </pic:pic>
                              </a:graphicData>
                            </a:graphic>
                          </wp:inline>
                        </w:drawing>
                      </w:r>
                    </w:p>
                    <w:p w14:paraId="331CBAFF" w14:textId="46FF059F" w:rsidR="00AD2C51" w:rsidRPr="00025344" w:rsidRDefault="00AD2C51" w:rsidP="00AD2C51">
                      <w:pPr>
                        <w:pStyle w:val="Didascalia"/>
                        <w:ind w:left="142" w:right="97"/>
                        <w:rPr>
                          <w:lang w:val="en-US"/>
                        </w:rPr>
                      </w:pPr>
                      <w:bookmarkStart w:id="14" w:name="_Ref46226551"/>
                      <w:r w:rsidRPr="00AD2C51">
                        <w:rPr>
                          <w:sz w:val="20"/>
                          <w:lang w:val="en-US"/>
                        </w:rPr>
                        <w:t xml:space="preserve">Fig. </w:t>
                      </w:r>
                      <w:r w:rsidRPr="00F312BC">
                        <w:rPr>
                          <w:sz w:val="20"/>
                        </w:rPr>
                        <w:fldChar w:fldCharType="begin"/>
                      </w:r>
                      <w:r w:rsidRPr="00AD2C51">
                        <w:rPr>
                          <w:sz w:val="20"/>
                          <w:lang w:val="en-US"/>
                        </w:rPr>
                        <w:instrText xml:space="preserve"> SEQ Fig. \* ARABIC </w:instrText>
                      </w:r>
                      <w:r w:rsidRPr="00F312BC">
                        <w:rPr>
                          <w:sz w:val="20"/>
                        </w:rPr>
                        <w:fldChar w:fldCharType="separate"/>
                      </w:r>
                      <w:r w:rsidR="001315EA">
                        <w:rPr>
                          <w:noProof/>
                          <w:sz w:val="20"/>
                          <w:lang w:val="en-US"/>
                        </w:rPr>
                        <w:t>7</w:t>
                      </w:r>
                      <w:r w:rsidRPr="00F312BC">
                        <w:rPr>
                          <w:sz w:val="20"/>
                        </w:rPr>
                        <w:fldChar w:fldCharType="end"/>
                      </w:r>
                      <w:bookmarkEnd w:id="14"/>
                      <w:r w:rsidRPr="00025344">
                        <w:rPr>
                          <w:sz w:val="20"/>
                          <w:lang w:val="en-US"/>
                        </w:rPr>
                        <w:t xml:space="preserve">: </w:t>
                      </w:r>
                      <w:r>
                        <w:rPr>
                          <w:sz w:val="20"/>
                          <w:lang w:val="en-US"/>
                        </w:rPr>
                        <w:t xml:space="preserve">Line voltage during </w:t>
                      </w:r>
                      <w:proofErr w:type="spellStart"/>
                      <w:r w:rsidRPr="00025344">
                        <w:rPr>
                          <w:sz w:val="20"/>
                          <w:lang w:val="en-US"/>
                        </w:rPr>
                        <w:t>B</w:t>
                      </w:r>
                      <w:r>
                        <w:rPr>
                          <w:sz w:val="20"/>
                          <w:lang w:val="en-US"/>
                        </w:rPr>
                        <w:t>ussoleno</w:t>
                      </w:r>
                      <w:proofErr w:type="spellEnd"/>
                      <w:r w:rsidRPr="00025344">
                        <w:rPr>
                          <w:sz w:val="20"/>
                          <w:lang w:val="en-US"/>
                        </w:rPr>
                        <w:t xml:space="preserve"> – Torino</w:t>
                      </w:r>
                    </w:p>
                  </w:txbxContent>
                </v:textbox>
                <w10:wrap type="square" anchorx="margin" anchory="margin"/>
              </v:shape>
            </w:pict>
          </mc:Fallback>
        </mc:AlternateContent>
      </w:r>
      <w:r w:rsidRPr="00EF4569">
        <w:rPr>
          <w:lang w:val="en-US"/>
        </w:rPr>
        <w:t xml:space="preserve">As reported in the specifications, this system can generate voltages up to 11 kV, therefore widely capable of replicating overvoltage phenomena. In railway systems, in order to reduce losses, the voltage level tends to be higher than the rated voltage of 3kV. In particular situations, for example in the evening when traffic is significantly reduced, the </w:t>
      </w:r>
      <w:bookmarkStart w:id="7" w:name="_GoBack"/>
      <w:bookmarkEnd w:id="7"/>
      <w:r w:rsidRPr="00EF4569">
        <w:rPr>
          <w:lang w:val="en-US"/>
        </w:rPr>
        <w:t xml:space="preserve">line voltage may be close to regulatory limits. </w:t>
      </w:r>
      <w:r w:rsidRPr="00EF4569">
        <w:rPr>
          <w:lang w:val="en-US"/>
        </w:rPr>
        <w:fldChar w:fldCharType="begin"/>
      </w:r>
      <w:r w:rsidRPr="00EF4569">
        <w:rPr>
          <w:lang w:val="en-US"/>
        </w:rPr>
        <w:instrText xml:space="preserve"> REF _Ref46226551 \h </w:instrText>
      </w:r>
      <w:r w:rsidRPr="00EF4569">
        <w:rPr>
          <w:lang w:val="en-US"/>
        </w:rPr>
      </w:r>
      <w:r w:rsidRPr="00EF4569">
        <w:rPr>
          <w:lang w:val="en-US"/>
        </w:rPr>
        <w:fldChar w:fldCharType="separate"/>
      </w:r>
      <w:r w:rsidR="001315EA" w:rsidRPr="00EF4569">
        <w:rPr>
          <w:lang w:val="en-US"/>
        </w:rPr>
        <w:t xml:space="preserve">Fig. </w:t>
      </w:r>
      <w:r w:rsidR="001315EA" w:rsidRPr="00EF4569">
        <w:rPr>
          <w:noProof/>
          <w:lang w:val="en-US"/>
        </w:rPr>
        <w:t>7</w:t>
      </w:r>
      <w:r w:rsidRPr="00EF4569">
        <w:rPr>
          <w:lang w:val="en-US"/>
        </w:rPr>
        <w:fldChar w:fldCharType="end"/>
      </w:r>
      <w:r w:rsidRPr="00EF4569">
        <w:rPr>
          <w:lang w:val="en-US"/>
        </w:rPr>
        <w:t xml:space="preserve"> shows the trend of the line voltage during the </w:t>
      </w:r>
      <w:proofErr w:type="spellStart"/>
      <w:r w:rsidRPr="00EF4569">
        <w:rPr>
          <w:lang w:val="en-US"/>
        </w:rPr>
        <w:t>Bussoleno</w:t>
      </w:r>
      <w:proofErr w:type="spellEnd"/>
      <w:r w:rsidRPr="00EF4569">
        <w:rPr>
          <w:lang w:val="en-US"/>
        </w:rPr>
        <w:t xml:space="preserve"> - Turin section around 10 pm. The voltage is always higher than 3.5 kV and has an average of 3728V, a value approximately 25% higher than the rated voltage. Using situations such as the one shown in figure 7, it is possible to verify, even in dynamic conditions, the performance of the entire voltage control system on board the train, also impacting the </w:t>
      </w:r>
      <w:proofErr w:type="spellStart"/>
      <w:r w:rsidRPr="00EF4569">
        <w:rPr>
          <w:lang w:val="en-US"/>
        </w:rPr>
        <w:t>rheostatic</w:t>
      </w:r>
      <w:proofErr w:type="spellEnd"/>
      <w:r w:rsidRPr="00EF4569">
        <w:rPr>
          <w:lang w:val="en-US"/>
        </w:rPr>
        <w:t xml:space="preserve"> braking system and </w:t>
      </w:r>
      <w:r w:rsidRPr="00EF4569">
        <w:rPr>
          <w:lang w:val="en-US"/>
        </w:rPr>
        <w:lastRenderedPageBreak/>
        <w:t>therefore on energy consumption.</w:t>
      </w:r>
    </w:p>
    <w:p w14:paraId="21E3C1D2" w14:textId="0607D481" w:rsidR="00AD2C51" w:rsidRPr="00EF4569" w:rsidRDefault="00AD2C51" w:rsidP="000F44DB">
      <w:pPr>
        <w:pStyle w:val="Bodytextfirst"/>
        <w:rPr>
          <w:lang w:val="en-US"/>
        </w:rPr>
      </w:pPr>
    </w:p>
    <w:p w14:paraId="291E7295" w14:textId="77777777" w:rsidR="00836BAF" w:rsidRPr="00597FCF" w:rsidRDefault="00836BAF" w:rsidP="00F428F6">
      <w:pPr>
        <w:pStyle w:val="Bodytextfirst"/>
        <w:rPr>
          <w:lang w:val="en-US"/>
        </w:rPr>
      </w:pPr>
    </w:p>
    <w:p w14:paraId="146A4748" w14:textId="375D7BB5" w:rsidR="00EC0F77" w:rsidRPr="00597FCF" w:rsidRDefault="00EC0F77" w:rsidP="00866FFC">
      <w:pPr>
        <w:pStyle w:val="Sectionheading"/>
        <w:numPr>
          <w:ilvl w:val="0"/>
          <w:numId w:val="0"/>
        </w:numPr>
        <w:rPr>
          <w:lang w:val="en-US"/>
        </w:rPr>
      </w:pPr>
      <w:r w:rsidRPr="00597FCF">
        <w:rPr>
          <w:lang w:val="en-US"/>
        </w:rPr>
        <w:t>acknowledgement</w:t>
      </w:r>
    </w:p>
    <w:p w14:paraId="643E409C" w14:textId="54B7D01C" w:rsidR="00B70D6A" w:rsidRPr="00597FCF" w:rsidRDefault="001946B0" w:rsidP="00F428F6">
      <w:pPr>
        <w:pStyle w:val="Bodytextfirst"/>
        <w:rPr>
          <w:lang w:val="en-US"/>
        </w:rPr>
      </w:pPr>
      <w:r w:rsidRPr="00597FCF">
        <w:rPr>
          <w:lang w:val="en-US"/>
        </w:rPr>
        <w:t xml:space="preserve">The results here presented are developed in the framework of the 16ENG04 </w:t>
      </w:r>
      <w:proofErr w:type="spellStart"/>
      <w:r w:rsidRPr="00597FCF">
        <w:rPr>
          <w:lang w:val="en-US"/>
        </w:rPr>
        <w:t>MyRailS</w:t>
      </w:r>
      <w:proofErr w:type="spellEnd"/>
      <w:r w:rsidRPr="00597FCF">
        <w:rPr>
          <w:lang w:val="en-US"/>
        </w:rPr>
        <w:t xml:space="preserve"> Project. The latter received funding from the EMPIR program co-financed by the Participating States and from the European Union’s Horizon 2020 research and innovation program.</w:t>
      </w:r>
    </w:p>
    <w:p w14:paraId="773DD776" w14:textId="088B136E" w:rsidR="00EC0F77" w:rsidRPr="00597FCF" w:rsidRDefault="00EC0F77" w:rsidP="00866FFC">
      <w:pPr>
        <w:pStyle w:val="Sectionheading"/>
        <w:numPr>
          <w:ilvl w:val="0"/>
          <w:numId w:val="0"/>
        </w:numPr>
        <w:ind w:left="283" w:hanging="283"/>
        <w:rPr>
          <w:lang w:val="en-US"/>
        </w:rPr>
      </w:pPr>
      <w:r w:rsidRPr="00597FCF">
        <w:rPr>
          <w:lang w:val="en-US"/>
        </w:rPr>
        <w:t>Conclusions</w:t>
      </w:r>
    </w:p>
    <w:p w14:paraId="41CEDA02" w14:textId="116AD46C" w:rsidR="002123C1" w:rsidRPr="00597FCF" w:rsidRDefault="002123C1" w:rsidP="00F428F6">
      <w:pPr>
        <w:pStyle w:val="Bodytextfirst"/>
        <w:rPr>
          <w:lang w:val="en-US"/>
        </w:rPr>
      </w:pPr>
      <w:r w:rsidRPr="00597FCF">
        <w:rPr>
          <w:lang w:val="en-US"/>
        </w:rPr>
        <w:t xml:space="preserve">A setup for the characterization of the on-board detection systems for DC railway application has been described. It allows to emulate signal as voltage dip and </w:t>
      </w:r>
      <w:r w:rsidR="00587499" w:rsidRPr="00597FCF">
        <w:rPr>
          <w:lang w:val="en-US"/>
        </w:rPr>
        <w:t>swell</w:t>
      </w:r>
      <w:r w:rsidRPr="00597FCF">
        <w:rPr>
          <w:lang w:val="en-US"/>
        </w:rPr>
        <w:t>, electric arcs, bad-contact between pantograph and catenary and other PQ phenomena. The relative uncertainty for voltage and current is overestimated at 1% but a more precise analysis in dynamic conditions is under evaluation.</w:t>
      </w:r>
    </w:p>
    <w:p w14:paraId="617396FA" w14:textId="77777777" w:rsidR="002B3418" w:rsidRPr="00597FCF" w:rsidRDefault="002B3418" w:rsidP="002B3418">
      <w:pPr>
        <w:pStyle w:val="Sectionheading"/>
        <w:numPr>
          <w:ilvl w:val="0"/>
          <w:numId w:val="0"/>
        </w:numPr>
        <w:rPr>
          <w:lang w:val="en-US"/>
        </w:rPr>
      </w:pPr>
      <w:r w:rsidRPr="00597FCF">
        <w:rPr>
          <w:lang w:val="en-US"/>
        </w:rPr>
        <w:t>References</w:t>
      </w:r>
    </w:p>
    <w:p w14:paraId="42096371" w14:textId="4A78BF43" w:rsidR="00AF4C37" w:rsidRPr="00597FCF" w:rsidRDefault="00AF4C37" w:rsidP="00AF4C37">
      <w:pPr>
        <w:pStyle w:val="References"/>
        <w:tabs>
          <w:tab w:val="clear" w:pos="227"/>
          <w:tab w:val="num" w:pos="426"/>
        </w:tabs>
        <w:rPr>
          <w:lang w:val="en-US"/>
        </w:rPr>
      </w:pPr>
      <w:bookmarkStart w:id="8" w:name="_Ref38972989"/>
      <w:bookmarkStart w:id="9" w:name="_Ref35959781"/>
      <w:bookmarkStart w:id="10" w:name="_Ref36046103"/>
      <w:r w:rsidRPr="00597FCF">
        <w:rPr>
          <w:lang w:val="en-US"/>
        </w:rPr>
        <w:t xml:space="preserve">S. M. Mousavi </w:t>
      </w:r>
      <w:proofErr w:type="spellStart"/>
      <w:r w:rsidRPr="00597FCF">
        <w:rPr>
          <w:lang w:val="en-US"/>
        </w:rPr>
        <w:t>Gazafrudi</w:t>
      </w:r>
      <w:proofErr w:type="spellEnd"/>
      <w:r w:rsidRPr="00597FCF">
        <w:rPr>
          <w:lang w:val="en-US"/>
        </w:rPr>
        <w:t xml:space="preserve">, A. </w:t>
      </w:r>
      <w:proofErr w:type="spellStart"/>
      <w:r w:rsidRPr="00597FCF">
        <w:rPr>
          <w:lang w:val="en-US"/>
        </w:rPr>
        <w:t>Tabakhpour</w:t>
      </w:r>
      <w:proofErr w:type="spellEnd"/>
      <w:r w:rsidRPr="00597FCF">
        <w:rPr>
          <w:lang w:val="en-US"/>
        </w:rPr>
        <w:t xml:space="preserve"> </w:t>
      </w:r>
      <w:proofErr w:type="spellStart"/>
      <w:r w:rsidRPr="00597FCF">
        <w:rPr>
          <w:lang w:val="en-US"/>
        </w:rPr>
        <w:t>Langerudy</w:t>
      </w:r>
      <w:proofErr w:type="spellEnd"/>
      <w:r w:rsidRPr="00597FCF">
        <w:rPr>
          <w:lang w:val="en-US"/>
        </w:rPr>
        <w:t xml:space="preserve">, E. F. Fuchs and K. Al-Haddad, "Power Quality Issues in Railway Electrification: A Comprehensive </w:t>
      </w:r>
      <w:r w:rsidRPr="00597FCF">
        <w:rPr>
          <w:lang w:val="en-US"/>
        </w:rPr>
        <w:lastRenderedPageBreak/>
        <w:t>Perspective," in IEEE Transactions on Industrial Electronics, vol. 62, no. 5, pp. 3081-3090, May 2015.</w:t>
      </w:r>
      <w:bookmarkEnd w:id="8"/>
    </w:p>
    <w:p w14:paraId="3BB44E10" w14:textId="11D20B54" w:rsidR="002B3418" w:rsidRPr="00597FCF" w:rsidRDefault="002B3418" w:rsidP="00D94AAB">
      <w:pPr>
        <w:pStyle w:val="References"/>
        <w:tabs>
          <w:tab w:val="clear" w:pos="227"/>
          <w:tab w:val="num" w:pos="426"/>
        </w:tabs>
        <w:rPr>
          <w:lang w:val="en-US"/>
        </w:rPr>
      </w:pPr>
      <w:bookmarkStart w:id="11" w:name="_Ref38973002"/>
      <w:r w:rsidRPr="00597FCF">
        <w:rPr>
          <w:lang w:val="en-US"/>
        </w:rPr>
        <w:t>EN 50</w:t>
      </w:r>
      <w:bookmarkEnd w:id="9"/>
      <w:r w:rsidR="0084486C" w:rsidRPr="00597FCF">
        <w:rPr>
          <w:lang w:val="en-US"/>
        </w:rPr>
        <w:t>163</w:t>
      </w:r>
      <w:r w:rsidR="00D94AAB" w:rsidRPr="00597FCF">
        <w:rPr>
          <w:lang w:val="en-US"/>
        </w:rPr>
        <w:t>, Railway applications – Supply voltages of traction systems, 2006-10</w:t>
      </w:r>
      <w:bookmarkEnd w:id="10"/>
      <w:bookmarkEnd w:id="11"/>
    </w:p>
    <w:p w14:paraId="0F238685" w14:textId="55CD1E52" w:rsidR="002B3418" w:rsidRPr="00597FCF" w:rsidRDefault="002B3418" w:rsidP="00D94AAB">
      <w:pPr>
        <w:pStyle w:val="References"/>
        <w:tabs>
          <w:tab w:val="clear" w:pos="227"/>
          <w:tab w:val="num" w:pos="426"/>
        </w:tabs>
        <w:rPr>
          <w:lang w:val="en-US"/>
        </w:rPr>
      </w:pPr>
      <w:bookmarkStart w:id="12" w:name="_Ref35959753"/>
      <w:bookmarkStart w:id="13" w:name="_Ref36046112"/>
      <w:r w:rsidRPr="00597FCF">
        <w:rPr>
          <w:lang w:val="en-US"/>
        </w:rPr>
        <w:t>EN 50</w:t>
      </w:r>
      <w:bookmarkEnd w:id="12"/>
      <w:r w:rsidR="0084486C" w:rsidRPr="00597FCF">
        <w:rPr>
          <w:lang w:val="en-US"/>
        </w:rPr>
        <w:t>388</w:t>
      </w:r>
      <w:r w:rsidR="00D94AAB" w:rsidRPr="00597FCF">
        <w:rPr>
          <w:lang w:val="en-US"/>
        </w:rPr>
        <w:t xml:space="preserve"> - Power supply and rolling stock - Technical criteria for the coordination between power supply (substation) and rolling stock to achieve interoperability, 2012-08</w:t>
      </w:r>
      <w:bookmarkEnd w:id="13"/>
    </w:p>
    <w:bookmarkStart w:id="14" w:name="_Ref36117744"/>
    <w:p w14:paraId="3911188A" w14:textId="3ACC119C" w:rsidR="00F428F6" w:rsidRPr="00597FCF" w:rsidRDefault="0094711F" w:rsidP="00D94AAB">
      <w:pPr>
        <w:pStyle w:val="References"/>
        <w:tabs>
          <w:tab w:val="clear" w:pos="227"/>
          <w:tab w:val="num" w:pos="426"/>
        </w:tabs>
        <w:rPr>
          <w:lang w:val="en-US"/>
        </w:rPr>
      </w:pPr>
      <w:r w:rsidRPr="00597FCF">
        <w:rPr>
          <w:lang w:val="en-US"/>
        </w:rPr>
        <w:fldChar w:fldCharType="begin"/>
      </w:r>
      <w:r w:rsidRPr="00597FCF">
        <w:rPr>
          <w:lang w:val="en-US"/>
        </w:rPr>
        <w:instrText xml:space="preserve"> HYPERLINK "http://www.ansf.it/documents/19/3733556/370582-1.1%20(Maschera%20FS96).pdf" </w:instrText>
      </w:r>
      <w:r w:rsidRPr="00597FCF">
        <w:rPr>
          <w:lang w:val="en-US"/>
        </w:rPr>
        <w:fldChar w:fldCharType="separate"/>
      </w:r>
      <w:r w:rsidRPr="00597FCF">
        <w:rPr>
          <w:rStyle w:val="Collegamentoipertestuale"/>
          <w:lang w:val="en-US"/>
        </w:rPr>
        <w:t>http://www.ansf.it/documents/19/3733556/370582-1.1%20(Maschera%20FS96).pdf</w:t>
      </w:r>
      <w:bookmarkEnd w:id="14"/>
      <w:r w:rsidRPr="00597FCF">
        <w:rPr>
          <w:lang w:val="en-US"/>
        </w:rPr>
        <w:fldChar w:fldCharType="end"/>
      </w:r>
    </w:p>
    <w:p w14:paraId="0FE8E62A" w14:textId="4D709486" w:rsidR="0094711F" w:rsidRPr="00597FCF" w:rsidRDefault="0094711F" w:rsidP="007666C6">
      <w:pPr>
        <w:pStyle w:val="References"/>
        <w:tabs>
          <w:tab w:val="clear" w:pos="227"/>
          <w:tab w:val="num" w:pos="426"/>
        </w:tabs>
        <w:rPr>
          <w:rStyle w:val="Collegamentoipertestuale"/>
          <w:color w:val="auto"/>
          <w:u w:val="none"/>
          <w:lang w:val="en-US"/>
        </w:rPr>
      </w:pPr>
      <w:bookmarkStart w:id="15" w:name="_Ref36046089"/>
      <w:r w:rsidRPr="00597FCF">
        <w:rPr>
          <w:lang w:val="en-US"/>
        </w:rPr>
        <w:t xml:space="preserve">European project 16ENG04 </w:t>
      </w:r>
      <w:proofErr w:type="spellStart"/>
      <w:r w:rsidRPr="00597FCF">
        <w:rPr>
          <w:lang w:val="en-US"/>
        </w:rPr>
        <w:t>MyRailS</w:t>
      </w:r>
      <w:proofErr w:type="spellEnd"/>
      <w:r w:rsidRPr="00597FCF">
        <w:rPr>
          <w:lang w:val="en-US"/>
        </w:rPr>
        <w:t xml:space="preserve"> </w:t>
      </w:r>
      <w:hyperlink r:id="rId23" w:history="1">
        <w:r w:rsidRPr="00597FCF">
          <w:rPr>
            <w:rStyle w:val="Collegamentoipertestuale"/>
            <w:lang w:val="en-US"/>
          </w:rPr>
          <w:t>https://myrails.it/</w:t>
        </w:r>
      </w:hyperlink>
      <w:bookmarkEnd w:id="15"/>
    </w:p>
    <w:p w14:paraId="3038C84F" w14:textId="77777777" w:rsidR="006452F2" w:rsidRPr="00597FCF" w:rsidRDefault="006452F2" w:rsidP="006452F2">
      <w:pPr>
        <w:pStyle w:val="References"/>
        <w:tabs>
          <w:tab w:val="clear" w:pos="227"/>
          <w:tab w:val="num" w:pos="426"/>
        </w:tabs>
        <w:rPr>
          <w:lang w:val="en-US"/>
        </w:rPr>
      </w:pPr>
      <w:bookmarkStart w:id="16" w:name="_Ref35964948"/>
      <w:r w:rsidRPr="00597FCF">
        <w:rPr>
          <w:lang w:val="en-US"/>
        </w:rPr>
        <w:t xml:space="preserve">A. D. </w:t>
      </w:r>
      <w:proofErr w:type="spellStart"/>
      <w:r w:rsidRPr="00597FCF">
        <w:rPr>
          <w:lang w:val="en-US"/>
        </w:rPr>
        <w:t>Femine</w:t>
      </w:r>
      <w:proofErr w:type="spellEnd"/>
      <w:r w:rsidRPr="00597FCF">
        <w:rPr>
          <w:lang w:val="en-US"/>
        </w:rPr>
        <w:t xml:space="preserve">, D. Gallo, D. Giordano, C. </w:t>
      </w:r>
      <w:proofErr w:type="spellStart"/>
      <w:r w:rsidRPr="00597FCF">
        <w:rPr>
          <w:lang w:val="en-US"/>
        </w:rPr>
        <w:t>Landi</w:t>
      </w:r>
      <w:proofErr w:type="spellEnd"/>
      <w:r w:rsidRPr="00597FCF">
        <w:rPr>
          <w:lang w:val="en-US"/>
        </w:rPr>
        <w:t xml:space="preserve">, M. </w:t>
      </w:r>
      <w:proofErr w:type="spellStart"/>
      <w:r w:rsidRPr="00597FCF">
        <w:rPr>
          <w:lang w:val="en-US"/>
        </w:rPr>
        <w:t>Luiso</w:t>
      </w:r>
      <w:proofErr w:type="spellEnd"/>
      <w:r w:rsidRPr="00597FCF">
        <w:rPr>
          <w:lang w:val="en-US"/>
        </w:rPr>
        <w:t xml:space="preserve"> and D. Signorino, "Power Quality Assessment in Railway Traction Supply Systems," in IEEE Transactions on Instrumentation and Measurement.</w:t>
      </w:r>
      <w:bookmarkEnd w:id="16"/>
    </w:p>
    <w:p w14:paraId="60EC5376" w14:textId="7C72B3AC" w:rsidR="002B3418" w:rsidRPr="00597FCF" w:rsidRDefault="00A7026D" w:rsidP="002B3418">
      <w:pPr>
        <w:pStyle w:val="References"/>
        <w:tabs>
          <w:tab w:val="clear" w:pos="227"/>
          <w:tab w:val="num" w:pos="426"/>
        </w:tabs>
        <w:rPr>
          <w:lang w:val="en-US"/>
        </w:rPr>
      </w:pPr>
      <w:bookmarkStart w:id="17" w:name="_Ref38988520"/>
      <w:bookmarkStart w:id="18" w:name="_Ref35964941"/>
      <w:r w:rsidRPr="00597FCF">
        <w:rPr>
          <w:lang w:val="en-US"/>
        </w:rPr>
        <w:t>D</w:t>
      </w:r>
      <w:r w:rsidR="002B3418" w:rsidRPr="00597FCF">
        <w:rPr>
          <w:lang w:val="en-US"/>
        </w:rPr>
        <w:t xml:space="preserve">. </w:t>
      </w:r>
      <w:r w:rsidRPr="00597FCF">
        <w:rPr>
          <w:lang w:val="en-US"/>
        </w:rPr>
        <w:t>Giordano</w:t>
      </w:r>
      <w:r w:rsidR="002B3418" w:rsidRPr="00597FCF">
        <w:rPr>
          <w:lang w:val="en-US"/>
        </w:rPr>
        <w:t xml:space="preserve"> et al., "</w:t>
      </w:r>
      <w:r w:rsidRPr="00597FCF">
        <w:rPr>
          <w:lang w:val="en-US"/>
        </w:rPr>
        <w:t>Pantograph-Catenary Arc Detection Technique based on Conducted Effects Measurement on Railway Supply System</w:t>
      </w:r>
      <w:r w:rsidR="002B3418" w:rsidRPr="00597FCF">
        <w:rPr>
          <w:lang w:val="en-US"/>
        </w:rPr>
        <w:t>"</w:t>
      </w:r>
      <w:r w:rsidRPr="00597FCF">
        <w:rPr>
          <w:lang w:val="en-US"/>
        </w:rPr>
        <w:t>, in WCRR 2019, Tokyo</w:t>
      </w:r>
      <w:bookmarkEnd w:id="17"/>
      <w:r w:rsidR="002B3418" w:rsidRPr="00597FCF">
        <w:rPr>
          <w:lang w:val="en-US"/>
        </w:rPr>
        <w:t xml:space="preserve"> </w:t>
      </w:r>
      <w:bookmarkEnd w:id="18"/>
    </w:p>
    <w:p w14:paraId="013756E8" w14:textId="1891CABF" w:rsidR="001946B0" w:rsidRPr="00597FCF" w:rsidRDefault="001946B0" w:rsidP="002B3418">
      <w:pPr>
        <w:pStyle w:val="References"/>
        <w:tabs>
          <w:tab w:val="clear" w:pos="227"/>
          <w:tab w:val="num" w:pos="426"/>
        </w:tabs>
        <w:rPr>
          <w:lang w:val="en-US"/>
        </w:rPr>
      </w:pPr>
      <w:bookmarkStart w:id="19" w:name="_Ref38988702"/>
      <w:r w:rsidRPr="00597FCF">
        <w:rPr>
          <w:lang w:val="en-US"/>
        </w:rPr>
        <w:t xml:space="preserve">A. </w:t>
      </w:r>
      <w:proofErr w:type="spellStart"/>
      <w:r w:rsidRPr="00597FCF">
        <w:rPr>
          <w:lang w:val="en-US"/>
        </w:rPr>
        <w:t>Mariscotti</w:t>
      </w:r>
      <w:proofErr w:type="spellEnd"/>
      <w:r w:rsidRPr="00597FCF">
        <w:rPr>
          <w:lang w:val="en-US"/>
        </w:rPr>
        <w:t>, “Discussion of Power Quality Metrics suitable for DC Power Distribution and Smart Grids, 2019, 24nd IMEKO TC4 International Symposium Electrical &amp; Electronic Measurements,</w:t>
      </w:r>
      <w:r w:rsidR="006E21AD" w:rsidRPr="00597FCF">
        <w:rPr>
          <w:lang w:val="en-US"/>
        </w:rPr>
        <w:t xml:space="preserve"> </w:t>
      </w:r>
      <w:proofErr w:type="spellStart"/>
      <w:r w:rsidR="006E21AD" w:rsidRPr="00597FCF">
        <w:rPr>
          <w:lang w:val="en-US"/>
        </w:rPr>
        <w:t>Xi'An</w:t>
      </w:r>
      <w:proofErr w:type="spellEnd"/>
      <w:r w:rsidR="006E21AD" w:rsidRPr="00597FCF">
        <w:rPr>
          <w:lang w:val="en-US"/>
        </w:rPr>
        <w:t>, China, 17-20 Sept. 2019</w:t>
      </w:r>
      <w:bookmarkEnd w:id="19"/>
    </w:p>
    <w:p w14:paraId="430DBC80" w14:textId="77777777" w:rsidR="00EB4099" w:rsidRPr="000E0656" w:rsidRDefault="00EB4099" w:rsidP="00042E63">
      <w:pPr>
        <w:pStyle w:val="References"/>
        <w:numPr>
          <w:ilvl w:val="0"/>
          <w:numId w:val="0"/>
        </w:numPr>
        <w:ind w:left="397"/>
        <w:rPr>
          <w:lang w:val="en-US"/>
        </w:rPr>
      </w:pPr>
    </w:p>
    <w:p w14:paraId="01055984" w14:textId="77777777" w:rsidR="002B3418" w:rsidRPr="000E0656" w:rsidRDefault="002B3418" w:rsidP="001946B0">
      <w:pPr>
        <w:pStyle w:val="References"/>
        <w:numPr>
          <w:ilvl w:val="0"/>
          <w:numId w:val="0"/>
        </w:numPr>
        <w:ind w:left="397" w:hanging="170"/>
        <w:rPr>
          <w:lang w:val="en-US"/>
        </w:rPr>
        <w:sectPr w:rsidR="002B3418" w:rsidRPr="000E0656" w:rsidSect="005A5652">
          <w:type w:val="continuous"/>
          <w:pgSz w:w="11906" w:h="16838"/>
          <w:pgMar w:top="2324" w:right="1134" w:bottom="1417" w:left="1134" w:header="993" w:footer="720" w:gutter="0"/>
          <w:cols w:num="2" w:space="340"/>
          <w:titlePg/>
          <w:docGrid w:linePitch="326"/>
        </w:sectPr>
      </w:pPr>
    </w:p>
    <w:p w14:paraId="4547C1D1" w14:textId="77777777" w:rsidR="00B70D6A" w:rsidRPr="000E0656" w:rsidRDefault="00B70D6A" w:rsidP="00F428F6">
      <w:pPr>
        <w:pStyle w:val="Bodytextfirst"/>
        <w:rPr>
          <w:lang w:val="en-US"/>
        </w:rPr>
      </w:pPr>
    </w:p>
    <w:sectPr w:rsidR="00B70D6A" w:rsidRPr="000E0656" w:rsidSect="00F312BC">
      <w:type w:val="continuous"/>
      <w:pgSz w:w="11906" w:h="16838"/>
      <w:pgMar w:top="2324" w:right="1134" w:bottom="1417" w:left="1134" w:header="993" w:footer="720" w:gutter="0"/>
      <w:cols w:num="2" w:space="340"/>
      <w:titlePg/>
      <w:docGrid w:linePitch="32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5A50D3F" w14:textId="77777777" w:rsidR="00C70A4F" w:rsidRDefault="00C70A4F">
      <w:r>
        <w:separator/>
      </w:r>
    </w:p>
  </w:endnote>
  <w:endnote w:type="continuationSeparator" w:id="0">
    <w:p w14:paraId="59EA10B8" w14:textId="77777777" w:rsidR="00C70A4F" w:rsidRDefault="00C70A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charset w:val="00"/>
    <w:family w:val="auto"/>
    <w:pitch w:val="variable"/>
    <w:sig w:usb0="800000AF" w:usb1="1001ECEA"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angal">
    <w:altName w:val="Courier New"/>
    <w:panose1 w:val="00000400000000000000"/>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821F080" w14:textId="77777777" w:rsidR="00C70A4F" w:rsidRDefault="00C70A4F">
      <w:r>
        <w:separator/>
      </w:r>
    </w:p>
  </w:footnote>
  <w:footnote w:type="continuationSeparator" w:id="0">
    <w:p w14:paraId="4518F1ED" w14:textId="77777777" w:rsidR="00C70A4F" w:rsidRDefault="00C70A4F">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lvl w:ilvl="0">
      <w:start w:val="1"/>
      <w:numFmt w:val="upperRoman"/>
      <w:pStyle w:val="Titolo1"/>
      <w:lvlText w:val="%1"/>
      <w:lvlJc w:val="left"/>
      <w:pPr>
        <w:tabs>
          <w:tab w:val="num" w:pos="432"/>
        </w:tabs>
        <w:ind w:left="432" w:hanging="432"/>
      </w:pPr>
    </w:lvl>
    <w:lvl w:ilvl="1">
      <w:start w:val="1"/>
      <w:numFmt w:val="none"/>
      <w:pStyle w:val="Titolo2"/>
      <w:suff w:val="nothing"/>
      <w:lvlText w:val=""/>
      <w:lvlJc w:val="left"/>
      <w:pPr>
        <w:tabs>
          <w:tab w:val="num" w:pos="576"/>
        </w:tabs>
        <w:ind w:left="576" w:hanging="576"/>
      </w:pPr>
    </w:lvl>
    <w:lvl w:ilvl="2">
      <w:start w:val="1"/>
      <w:numFmt w:val="none"/>
      <w:pStyle w:val="Titolo3"/>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2"/>
    <w:multiLevelType w:val="multilevel"/>
    <w:tmpl w:val="D36EB4F4"/>
    <w:name w:val="Numerazione 1"/>
    <w:lvl w:ilvl="0">
      <w:start w:val="1"/>
      <w:numFmt w:val="upperRoman"/>
      <w:pStyle w:val="Sectionheading"/>
      <w:lvlText w:val="%1."/>
      <w:lvlJc w:val="left"/>
      <w:pPr>
        <w:tabs>
          <w:tab w:val="num" w:pos="283"/>
        </w:tabs>
        <w:ind w:left="283" w:hanging="283"/>
      </w:pPr>
      <w:rPr>
        <w:rFonts w:hint="default"/>
      </w:rPr>
    </w:lvl>
    <w:lvl w:ilvl="1">
      <w:start w:val="1"/>
      <w:numFmt w:val="upperLetter"/>
      <w:lvlText w:val=" %2."/>
      <w:lvlJc w:val="left"/>
      <w:pPr>
        <w:tabs>
          <w:tab w:val="num" w:pos="567"/>
        </w:tabs>
        <w:ind w:left="567" w:hanging="283"/>
      </w:pPr>
      <w:rPr>
        <w:rFonts w:hint="default"/>
      </w:rPr>
    </w:lvl>
    <w:lvl w:ilvl="2">
      <w:start w:val="1"/>
      <w:numFmt w:val="lowerRoman"/>
      <w:lvlText w:val=" %3."/>
      <w:lvlJc w:val="left"/>
      <w:pPr>
        <w:tabs>
          <w:tab w:val="num" w:pos="850"/>
        </w:tabs>
        <w:ind w:left="850" w:hanging="283"/>
      </w:pPr>
      <w:rPr>
        <w:rFonts w:hint="default"/>
      </w:rPr>
    </w:lvl>
    <w:lvl w:ilvl="3">
      <w:start w:val="1"/>
      <w:numFmt w:val="lowerLetter"/>
      <w:lvlText w:val=" %4)"/>
      <w:lvlJc w:val="left"/>
      <w:pPr>
        <w:tabs>
          <w:tab w:val="num" w:pos="1134"/>
        </w:tabs>
        <w:ind w:left="1134" w:hanging="283"/>
      </w:pPr>
      <w:rPr>
        <w:rFonts w:hint="default"/>
      </w:rPr>
    </w:lvl>
    <w:lvl w:ilvl="4">
      <w:start w:val="1"/>
      <w:numFmt w:val="bullet"/>
      <w:lvlText w:val=""/>
      <w:lvlJc w:val="left"/>
      <w:pPr>
        <w:tabs>
          <w:tab w:val="num" w:pos="1417"/>
        </w:tabs>
        <w:ind w:left="1417" w:hanging="283"/>
      </w:pPr>
      <w:rPr>
        <w:rFonts w:ascii="Symbol" w:hAnsi="Symbol" w:cs="OpenSymbol" w:hint="default"/>
      </w:rPr>
    </w:lvl>
    <w:lvl w:ilvl="5">
      <w:start w:val="1"/>
      <w:numFmt w:val="bullet"/>
      <w:lvlText w:val=""/>
      <w:lvlJc w:val="left"/>
      <w:pPr>
        <w:tabs>
          <w:tab w:val="num" w:pos="1701"/>
        </w:tabs>
        <w:ind w:left="1701" w:hanging="283"/>
      </w:pPr>
      <w:rPr>
        <w:rFonts w:ascii="Symbol" w:hAnsi="Symbol" w:cs="OpenSymbol" w:hint="default"/>
      </w:rPr>
    </w:lvl>
    <w:lvl w:ilvl="6">
      <w:start w:val="1"/>
      <w:numFmt w:val="bullet"/>
      <w:lvlText w:val=""/>
      <w:lvlJc w:val="left"/>
      <w:pPr>
        <w:tabs>
          <w:tab w:val="num" w:pos="1984"/>
        </w:tabs>
        <w:ind w:left="1984" w:hanging="283"/>
      </w:pPr>
      <w:rPr>
        <w:rFonts w:ascii="Symbol" w:hAnsi="Symbol" w:cs="OpenSymbol" w:hint="default"/>
      </w:rPr>
    </w:lvl>
    <w:lvl w:ilvl="7">
      <w:start w:val="1"/>
      <w:numFmt w:val="bullet"/>
      <w:lvlText w:val=""/>
      <w:lvlJc w:val="left"/>
      <w:pPr>
        <w:tabs>
          <w:tab w:val="num" w:pos="2268"/>
        </w:tabs>
        <w:ind w:left="2268" w:hanging="283"/>
      </w:pPr>
      <w:rPr>
        <w:rFonts w:ascii="Symbol" w:hAnsi="Symbol" w:cs="OpenSymbol" w:hint="default"/>
      </w:rPr>
    </w:lvl>
    <w:lvl w:ilvl="8">
      <w:start w:val="1"/>
      <w:numFmt w:val="bullet"/>
      <w:lvlText w:val=""/>
      <w:lvlJc w:val="left"/>
      <w:pPr>
        <w:tabs>
          <w:tab w:val="num" w:pos="2551"/>
        </w:tabs>
        <w:ind w:left="2551" w:hanging="283"/>
      </w:pPr>
      <w:rPr>
        <w:rFonts w:ascii="Symbol" w:hAnsi="Symbol" w:cs="OpenSymbol" w:hint="default"/>
      </w:rPr>
    </w:lvl>
  </w:abstractNum>
  <w:abstractNum w:abstractNumId="2" w15:restartNumberingAfterBreak="0">
    <w:nsid w:val="00000003"/>
    <w:multiLevelType w:val="multilevel"/>
    <w:tmpl w:val="00000003"/>
    <w:name w:val="Numerazione 2"/>
    <w:lvl w:ilvl="0">
      <w:start w:val="1"/>
      <w:numFmt w:val="upperLetter"/>
      <w:lvlText w:val=" %1."/>
      <w:lvlJc w:val="left"/>
      <w:pPr>
        <w:tabs>
          <w:tab w:val="num" w:pos="283"/>
        </w:tabs>
        <w:ind w:left="283" w:hanging="283"/>
      </w:pPr>
    </w:lvl>
    <w:lvl w:ilvl="1">
      <w:start w:val="2"/>
      <w:numFmt w:val="upperLetter"/>
      <w:lvlText w:val=" %2."/>
      <w:lvlJc w:val="left"/>
      <w:pPr>
        <w:tabs>
          <w:tab w:val="num" w:pos="566"/>
        </w:tabs>
        <w:ind w:left="566" w:hanging="283"/>
      </w:pPr>
    </w:lvl>
    <w:lvl w:ilvl="2">
      <w:start w:val="3"/>
      <w:numFmt w:val="lowerRoman"/>
      <w:lvlText w:val=" %3."/>
      <w:lvlJc w:val="left"/>
      <w:pPr>
        <w:tabs>
          <w:tab w:val="num" w:pos="1133"/>
        </w:tabs>
        <w:ind w:left="1133" w:hanging="567"/>
      </w:pPr>
    </w:lvl>
    <w:lvl w:ilvl="3">
      <w:start w:val="4"/>
      <w:numFmt w:val="lowerLetter"/>
      <w:lvlText w:val=" %4)"/>
      <w:lvlJc w:val="left"/>
      <w:pPr>
        <w:tabs>
          <w:tab w:val="num" w:pos="1842"/>
        </w:tabs>
        <w:ind w:left="1842" w:hanging="709"/>
      </w:pPr>
    </w:lvl>
    <w:lvl w:ilvl="4">
      <w:start w:val="5"/>
      <w:numFmt w:val="bullet"/>
      <w:lvlText w:val=""/>
      <w:lvlJc w:val="left"/>
      <w:pPr>
        <w:tabs>
          <w:tab w:val="num" w:pos="2692"/>
        </w:tabs>
        <w:ind w:left="2692" w:hanging="850"/>
      </w:pPr>
      <w:rPr>
        <w:rFonts w:ascii="Symbol" w:hAnsi="Symbol" w:cs="OpenSymbol"/>
      </w:rPr>
    </w:lvl>
    <w:lvl w:ilvl="5">
      <w:start w:val="6"/>
      <w:numFmt w:val="bullet"/>
      <w:lvlText w:val=""/>
      <w:lvlJc w:val="left"/>
      <w:pPr>
        <w:tabs>
          <w:tab w:val="num" w:pos="3713"/>
        </w:tabs>
        <w:ind w:left="3713" w:hanging="1021"/>
      </w:pPr>
      <w:rPr>
        <w:rFonts w:ascii="Symbol" w:hAnsi="Symbol" w:cs="OpenSymbol"/>
      </w:rPr>
    </w:lvl>
    <w:lvl w:ilvl="6">
      <w:start w:val="7"/>
      <w:numFmt w:val="bullet"/>
      <w:lvlText w:val=""/>
      <w:lvlJc w:val="left"/>
      <w:pPr>
        <w:tabs>
          <w:tab w:val="num" w:pos="5017"/>
        </w:tabs>
        <w:ind w:left="5017" w:hanging="1304"/>
      </w:pPr>
      <w:rPr>
        <w:rFonts w:ascii="Symbol" w:hAnsi="Symbol" w:cs="OpenSymbol"/>
      </w:rPr>
    </w:lvl>
    <w:lvl w:ilvl="7">
      <w:start w:val="8"/>
      <w:numFmt w:val="bullet"/>
      <w:lvlText w:val=""/>
      <w:lvlJc w:val="left"/>
      <w:pPr>
        <w:tabs>
          <w:tab w:val="num" w:pos="6491"/>
        </w:tabs>
        <w:ind w:left="6491" w:hanging="1474"/>
      </w:pPr>
      <w:rPr>
        <w:rFonts w:ascii="Symbol" w:hAnsi="Symbol" w:cs="OpenSymbol"/>
      </w:rPr>
    </w:lvl>
    <w:lvl w:ilvl="8">
      <w:start w:val="9"/>
      <w:numFmt w:val="bullet"/>
      <w:lvlText w:val=""/>
      <w:lvlJc w:val="left"/>
      <w:pPr>
        <w:tabs>
          <w:tab w:val="num" w:pos="8079"/>
        </w:tabs>
        <w:ind w:left="8079" w:hanging="1588"/>
      </w:pPr>
      <w:rPr>
        <w:rFonts w:ascii="Symbol" w:hAnsi="Symbol" w:cs="OpenSymbol"/>
      </w:rPr>
    </w:lvl>
  </w:abstractNum>
  <w:abstractNum w:abstractNumId="3" w15:restartNumberingAfterBreak="0">
    <w:nsid w:val="00000004"/>
    <w:multiLevelType w:val="multilevel"/>
    <w:tmpl w:val="F90CDC8E"/>
    <w:name w:val="Numerazione 3"/>
    <w:lvl w:ilvl="0">
      <w:start w:val="1"/>
      <w:numFmt w:val="decimal"/>
      <w:pStyle w:val="References"/>
      <w:lvlText w:val="[%1]"/>
      <w:lvlJc w:val="right"/>
      <w:pPr>
        <w:tabs>
          <w:tab w:val="num" w:pos="227"/>
        </w:tabs>
        <w:ind w:left="397" w:hanging="170"/>
      </w:pPr>
      <w:rPr>
        <w:sz w:val="20"/>
      </w:rPr>
    </w:lvl>
    <w:lvl w:ilvl="1">
      <w:start w:val="2"/>
      <w:numFmt w:val="decimal"/>
      <w:lvlText w:val="%2"/>
      <w:lvlJc w:val="left"/>
      <w:pPr>
        <w:tabs>
          <w:tab w:val="num" w:pos="3402"/>
        </w:tabs>
        <w:ind w:left="3402" w:hanging="1701"/>
      </w:pPr>
    </w:lvl>
    <w:lvl w:ilvl="2">
      <w:start w:val="3"/>
      <w:numFmt w:val="decimal"/>
      <w:lvlText w:val="%3"/>
      <w:lvlJc w:val="left"/>
      <w:pPr>
        <w:tabs>
          <w:tab w:val="num" w:pos="5103"/>
        </w:tabs>
        <w:ind w:left="5103" w:hanging="1701"/>
      </w:pPr>
    </w:lvl>
    <w:lvl w:ilvl="3">
      <w:start w:val="4"/>
      <w:numFmt w:val="decimal"/>
      <w:lvlText w:val="%4"/>
      <w:lvlJc w:val="left"/>
      <w:pPr>
        <w:tabs>
          <w:tab w:val="num" w:pos="6804"/>
        </w:tabs>
        <w:ind w:left="6804" w:hanging="1701"/>
      </w:pPr>
    </w:lvl>
    <w:lvl w:ilvl="4">
      <w:start w:val="5"/>
      <w:numFmt w:val="decimal"/>
      <w:lvlText w:val="%5"/>
      <w:lvlJc w:val="left"/>
      <w:pPr>
        <w:tabs>
          <w:tab w:val="num" w:pos="8505"/>
        </w:tabs>
        <w:ind w:left="8505" w:hanging="1701"/>
      </w:pPr>
    </w:lvl>
    <w:lvl w:ilvl="5">
      <w:start w:val="6"/>
      <w:numFmt w:val="decimal"/>
      <w:lvlText w:val="%6"/>
      <w:lvlJc w:val="left"/>
      <w:pPr>
        <w:tabs>
          <w:tab w:val="num" w:pos="10206"/>
        </w:tabs>
        <w:ind w:left="10206" w:hanging="1701"/>
      </w:pPr>
    </w:lvl>
    <w:lvl w:ilvl="6">
      <w:start w:val="7"/>
      <w:numFmt w:val="decimal"/>
      <w:lvlText w:val="%7"/>
      <w:lvlJc w:val="left"/>
      <w:pPr>
        <w:tabs>
          <w:tab w:val="num" w:pos="11907"/>
        </w:tabs>
        <w:ind w:left="11907" w:hanging="1701"/>
      </w:pPr>
    </w:lvl>
    <w:lvl w:ilvl="7">
      <w:start w:val="8"/>
      <w:numFmt w:val="decimal"/>
      <w:lvlText w:val="%8"/>
      <w:lvlJc w:val="left"/>
      <w:pPr>
        <w:tabs>
          <w:tab w:val="num" w:pos="13608"/>
        </w:tabs>
        <w:ind w:left="13608" w:hanging="1701"/>
      </w:pPr>
    </w:lvl>
    <w:lvl w:ilvl="8">
      <w:start w:val="9"/>
      <w:numFmt w:val="decimal"/>
      <w:lvlText w:val="%9"/>
      <w:lvlJc w:val="left"/>
      <w:pPr>
        <w:tabs>
          <w:tab w:val="num" w:pos="15309"/>
        </w:tabs>
        <w:ind w:left="15309" w:hanging="1701"/>
      </w:pPr>
    </w:lvl>
  </w:abstractNum>
  <w:abstractNum w:abstractNumId="4" w15:restartNumberingAfterBreak="0">
    <w:nsid w:val="00000005"/>
    <w:multiLevelType w:val="multilevel"/>
    <w:tmpl w:val="00000005"/>
    <w:lvl w:ilvl="0">
      <w:start w:val="1"/>
      <w:numFmt w:val="upperLetter"/>
      <w:pStyle w:val="Subsectionheading"/>
      <w:lvlText w:val=" %1."/>
      <w:lvlJc w:val="left"/>
      <w:pPr>
        <w:tabs>
          <w:tab w:val="num" w:pos="283"/>
        </w:tabs>
        <w:ind w:left="283" w:hanging="283"/>
      </w:pPr>
    </w:lvl>
    <w:lvl w:ilvl="1">
      <w:start w:val="2"/>
      <w:numFmt w:val="upperLetter"/>
      <w:lvlText w:val=" %2."/>
      <w:lvlJc w:val="left"/>
      <w:pPr>
        <w:tabs>
          <w:tab w:val="num" w:pos="566"/>
        </w:tabs>
        <w:ind w:left="566" w:hanging="283"/>
      </w:pPr>
    </w:lvl>
    <w:lvl w:ilvl="2">
      <w:start w:val="3"/>
      <w:numFmt w:val="lowerRoman"/>
      <w:lvlText w:val=" %3."/>
      <w:lvlJc w:val="left"/>
      <w:pPr>
        <w:tabs>
          <w:tab w:val="num" w:pos="1133"/>
        </w:tabs>
        <w:ind w:left="1133" w:hanging="567"/>
      </w:pPr>
    </w:lvl>
    <w:lvl w:ilvl="3">
      <w:start w:val="4"/>
      <w:numFmt w:val="lowerLetter"/>
      <w:lvlText w:val=" %4)"/>
      <w:lvlJc w:val="left"/>
      <w:pPr>
        <w:tabs>
          <w:tab w:val="num" w:pos="1842"/>
        </w:tabs>
        <w:ind w:left="1842" w:hanging="709"/>
      </w:pPr>
    </w:lvl>
    <w:lvl w:ilvl="4">
      <w:start w:val="5"/>
      <w:numFmt w:val="bullet"/>
      <w:lvlText w:val=""/>
      <w:lvlJc w:val="left"/>
      <w:pPr>
        <w:tabs>
          <w:tab w:val="num" w:pos="2692"/>
        </w:tabs>
        <w:ind w:left="2692" w:hanging="850"/>
      </w:pPr>
      <w:rPr>
        <w:rFonts w:ascii="Symbol" w:hAnsi="Symbol" w:cs="OpenSymbol"/>
      </w:rPr>
    </w:lvl>
    <w:lvl w:ilvl="5">
      <w:start w:val="6"/>
      <w:numFmt w:val="bullet"/>
      <w:lvlText w:val=""/>
      <w:lvlJc w:val="left"/>
      <w:pPr>
        <w:tabs>
          <w:tab w:val="num" w:pos="3713"/>
        </w:tabs>
        <w:ind w:left="3713" w:hanging="1021"/>
      </w:pPr>
      <w:rPr>
        <w:rFonts w:ascii="Symbol" w:hAnsi="Symbol" w:cs="OpenSymbol"/>
      </w:rPr>
    </w:lvl>
    <w:lvl w:ilvl="6">
      <w:start w:val="7"/>
      <w:numFmt w:val="bullet"/>
      <w:lvlText w:val=""/>
      <w:lvlJc w:val="left"/>
      <w:pPr>
        <w:tabs>
          <w:tab w:val="num" w:pos="5017"/>
        </w:tabs>
        <w:ind w:left="5017" w:hanging="1304"/>
      </w:pPr>
      <w:rPr>
        <w:rFonts w:ascii="Symbol" w:hAnsi="Symbol" w:cs="OpenSymbol"/>
      </w:rPr>
    </w:lvl>
    <w:lvl w:ilvl="7">
      <w:start w:val="8"/>
      <w:numFmt w:val="bullet"/>
      <w:lvlText w:val=""/>
      <w:lvlJc w:val="left"/>
      <w:pPr>
        <w:tabs>
          <w:tab w:val="num" w:pos="6491"/>
        </w:tabs>
        <w:ind w:left="6491" w:hanging="1474"/>
      </w:pPr>
      <w:rPr>
        <w:rFonts w:ascii="Symbol" w:hAnsi="Symbol" w:cs="OpenSymbol"/>
      </w:rPr>
    </w:lvl>
    <w:lvl w:ilvl="8">
      <w:start w:val="9"/>
      <w:numFmt w:val="bullet"/>
      <w:lvlText w:val=""/>
      <w:lvlJc w:val="left"/>
      <w:pPr>
        <w:tabs>
          <w:tab w:val="num" w:pos="8079"/>
        </w:tabs>
        <w:ind w:left="8079" w:hanging="1588"/>
      </w:pPr>
      <w:rPr>
        <w:rFonts w:ascii="Symbol" w:hAnsi="Symbol" w:cs="OpenSymbol"/>
      </w:rPr>
    </w:lvl>
  </w:abstractNum>
  <w:abstractNum w:abstractNumId="5" w15:restartNumberingAfterBreak="0">
    <w:nsid w:val="0DC44D34"/>
    <w:multiLevelType w:val="multilevel"/>
    <w:tmpl w:val="908CE566"/>
    <w:name w:val="Numerazione 12"/>
    <w:lvl w:ilvl="0">
      <w:start w:val="1"/>
      <w:numFmt w:val="upperLetter"/>
      <w:lvlText w:val="%1."/>
      <w:lvlJc w:val="left"/>
      <w:pPr>
        <w:tabs>
          <w:tab w:val="num" w:pos="283"/>
        </w:tabs>
        <w:ind w:left="283" w:hanging="283"/>
      </w:pPr>
      <w:rPr>
        <w:rFonts w:hint="default"/>
      </w:rPr>
    </w:lvl>
    <w:lvl w:ilvl="1">
      <w:start w:val="1"/>
      <w:numFmt w:val="upperLetter"/>
      <w:lvlText w:val=" %2."/>
      <w:lvlJc w:val="left"/>
      <w:pPr>
        <w:tabs>
          <w:tab w:val="num" w:pos="567"/>
        </w:tabs>
        <w:ind w:left="567" w:hanging="283"/>
      </w:pPr>
      <w:rPr>
        <w:rFonts w:hint="default"/>
      </w:rPr>
    </w:lvl>
    <w:lvl w:ilvl="2">
      <w:start w:val="1"/>
      <w:numFmt w:val="lowerRoman"/>
      <w:lvlText w:val=" %3."/>
      <w:lvlJc w:val="left"/>
      <w:pPr>
        <w:tabs>
          <w:tab w:val="num" w:pos="850"/>
        </w:tabs>
        <w:ind w:left="850" w:hanging="283"/>
      </w:pPr>
      <w:rPr>
        <w:rFonts w:hint="default"/>
      </w:rPr>
    </w:lvl>
    <w:lvl w:ilvl="3">
      <w:start w:val="1"/>
      <w:numFmt w:val="lowerLetter"/>
      <w:lvlText w:val=" %4)"/>
      <w:lvlJc w:val="left"/>
      <w:pPr>
        <w:tabs>
          <w:tab w:val="num" w:pos="1134"/>
        </w:tabs>
        <w:ind w:left="1134" w:hanging="283"/>
      </w:pPr>
      <w:rPr>
        <w:rFonts w:hint="default"/>
      </w:rPr>
    </w:lvl>
    <w:lvl w:ilvl="4">
      <w:start w:val="1"/>
      <w:numFmt w:val="bullet"/>
      <w:lvlText w:val=""/>
      <w:lvlJc w:val="left"/>
      <w:pPr>
        <w:tabs>
          <w:tab w:val="num" w:pos="1417"/>
        </w:tabs>
        <w:ind w:left="1417" w:hanging="283"/>
      </w:pPr>
      <w:rPr>
        <w:rFonts w:ascii="Symbol" w:hAnsi="Symbol" w:cs="OpenSymbol" w:hint="default"/>
      </w:rPr>
    </w:lvl>
    <w:lvl w:ilvl="5">
      <w:start w:val="1"/>
      <w:numFmt w:val="bullet"/>
      <w:lvlText w:val=""/>
      <w:lvlJc w:val="left"/>
      <w:pPr>
        <w:tabs>
          <w:tab w:val="num" w:pos="1701"/>
        </w:tabs>
        <w:ind w:left="1701" w:hanging="283"/>
      </w:pPr>
      <w:rPr>
        <w:rFonts w:ascii="Symbol" w:hAnsi="Symbol" w:cs="OpenSymbol" w:hint="default"/>
      </w:rPr>
    </w:lvl>
    <w:lvl w:ilvl="6">
      <w:start w:val="1"/>
      <w:numFmt w:val="bullet"/>
      <w:lvlText w:val=""/>
      <w:lvlJc w:val="left"/>
      <w:pPr>
        <w:tabs>
          <w:tab w:val="num" w:pos="1984"/>
        </w:tabs>
        <w:ind w:left="1984" w:hanging="283"/>
      </w:pPr>
      <w:rPr>
        <w:rFonts w:ascii="Symbol" w:hAnsi="Symbol" w:cs="OpenSymbol" w:hint="default"/>
      </w:rPr>
    </w:lvl>
    <w:lvl w:ilvl="7">
      <w:start w:val="1"/>
      <w:numFmt w:val="bullet"/>
      <w:lvlText w:val=""/>
      <w:lvlJc w:val="left"/>
      <w:pPr>
        <w:tabs>
          <w:tab w:val="num" w:pos="2268"/>
        </w:tabs>
        <w:ind w:left="2268" w:hanging="283"/>
      </w:pPr>
      <w:rPr>
        <w:rFonts w:ascii="Symbol" w:hAnsi="Symbol" w:cs="OpenSymbol" w:hint="default"/>
      </w:rPr>
    </w:lvl>
    <w:lvl w:ilvl="8">
      <w:start w:val="1"/>
      <w:numFmt w:val="bullet"/>
      <w:lvlText w:val=""/>
      <w:lvlJc w:val="left"/>
      <w:pPr>
        <w:tabs>
          <w:tab w:val="num" w:pos="2551"/>
        </w:tabs>
        <w:ind w:left="2551" w:hanging="283"/>
      </w:pPr>
      <w:rPr>
        <w:rFonts w:ascii="Symbol" w:hAnsi="Symbol" w:cs="OpenSymbol" w:hint="default"/>
      </w:rPr>
    </w:lvl>
  </w:abstractNum>
  <w:abstractNum w:abstractNumId="6" w15:restartNumberingAfterBreak="0">
    <w:nsid w:val="52CA544A"/>
    <w:multiLevelType w:val="singleLevel"/>
    <w:tmpl w:val="1E24D6E4"/>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16"/>
        <w:szCs w:val="16"/>
        <w:lang w:val="en-GB"/>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embedSystemFonts/>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9"/>
  <w:hyphenationZone w:val="283"/>
  <w:defaultTableStyle w:val="Normale"/>
  <w:drawingGridHorizontalSpacing w:val="120"/>
  <w:drawingGridVerticalSpacing w:val="0"/>
  <w:displayHorizontalDrawingGridEvery w:val="0"/>
  <w:displayVerticalDrawingGridEvery w:val="0"/>
  <w:noPunctuationKerning/>
  <w:characterSpacingControl w:val="doNotCompress"/>
  <w:strictFirstAndLastChars/>
  <w:footnotePr>
    <w:footnote w:id="-1"/>
    <w:footnote w:id="0"/>
  </w:footnotePr>
  <w:endnotePr>
    <w:endnote w:id="-1"/>
    <w:endnote w:id="0"/>
  </w:endnotePr>
  <w:compat>
    <w:spaceForUL/>
    <w:balanceSingleByteDoubleByteWidth/>
    <w:doNotLeaveBackslashAlone/>
    <w:ulTrailSpace/>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927F5"/>
    <w:rsid w:val="00010151"/>
    <w:rsid w:val="00023D53"/>
    <w:rsid w:val="00025344"/>
    <w:rsid w:val="00042E63"/>
    <w:rsid w:val="000605B9"/>
    <w:rsid w:val="000B6DDC"/>
    <w:rsid w:val="000E0656"/>
    <w:rsid w:val="000F029F"/>
    <w:rsid w:val="000F44DB"/>
    <w:rsid w:val="000F6909"/>
    <w:rsid w:val="00115359"/>
    <w:rsid w:val="001315EA"/>
    <w:rsid w:val="001328A6"/>
    <w:rsid w:val="00143308"/>
    <w:rsid w:val="00177925"/>
    <w:rsid w:val="00184130"/>
    <w:rsid w:val="001946B0"/>
    <w:rsid w:val="001E0F95"/>
    <w:rsid w:val="001E24A2"/>
    <w:rsid w:val="001E2C53"/>
    <w:rsid w:val="001F05B6"/>
    <w:rsid w:val="00205D83"/>
    <w:rsid w:val="002123C1"/>
    <w:rsid w:val="002252F7"/>
    <w:rsid w:val="00236956"/>
    <w:rsid w:val="00251A21"/>
    <w:rsid w:val="00253330"/>
    <w:rsid w:val="002A2864"/>
    <w:rsid w:val="002A5A01"/>
    <w:rsid w:val="002B3418"/>
    <w:rsid w:val="002D15F3"/>
    <w:rsid w:val="002D7A90"/>
    <w:rsid w:val="002F2E87"/>
    <w:rsid w:val="0030023E"/>
    <w:rsid w:val="00303C30"/>
    <w:rsid w:val="00303CD1"/>
    <w:rsid w:val="00313DBB"/>
    <w:rsid w:val="00334B02"/>
    <w:rsid w:val="003415BB"/>
    <w:rsid w:val="0034321B"/>
    <w:rsid w:val="00355554"/>
    <w:rsid w:val="003A7782"/>
    <w:rsid w:val="003B307B"/>
    <w:rsid w:val="003B6B8D"/>
    <w:rsid w:val="003C39CB"/>
    <w:rsid w:val="003E6FC0"/>
    <w:rsid w:val="003F1715"/>
    <w:rsid w:val="00406031"/>
    <w:rsid w:val="004238C8"/>
    <w:rsid w:val="00437B8C"/>
    <w:rsid w:val="00447086"/>
    <w:rsid w:val="00454761"/>
    <w:rsid w:val="004561ED"/>
    <w:rsid w:val="00461F8E"/>
    <w:rsid w:val="0048170D"/>
    <w:rsid w:val="004A2459"/>
    <w:rsid w:val="004A778F"/>
    <w:rsid w:val="004B6EB6"/>
    <w:rsid w:val="004F71B2"/>
    <w:rsid w:val="005124D6"/>
    <w:rsid w:val="00515504"/>
    <w:rsid w:val="0057084E"/>
    <w:rsid w:val="00587499"/>
    <w:rsid w:val="00590CC8"/>
    <w:rsid w:val="00597FCF"/>
    <w:rsid w:val="005A0C06"/>
    <w:rsid w:val="005A5652"/>
    <w:rsid w:val="005B34DA"/>
    <w:rsid w:val="005C4B3D"/>
    <w:rsid w:val="005D2118"/>
    <w:rsid w:val="0060784C"/>
    <w:rsid w:val="00625503"/>
    <w:rsid w:val="00635D42"/>
    <w:rsid w:val="006452F2"/>
    <w:rsid w:val="00650405"/>
    <w:rsid w:val="006658BD"/>
    <w:rsid w:val="00672C9E"/>
    <w:rsid w:val="006902F0"/>
    <w:rsid w:val="006A17DD"/>
    <w:rsid w:val="006A2182"/>
    <w:rsid w:val="006A21E3"/>
    <w:rsid w:val="006A4BA1"/>
    <w:rsid w:val="006B1C6D"/>
    <w:rsid w:val="006C471B"/>
    <w:rsid w:val="006D021F"/>
    <w:rsid w:val="006E21AD"/>
    <w:rsid w:val="006E4B78"/>
    <w:rsid w:val="006E4C6C"/>
    <w:rsid w:val="006F3155"/>
    <w:rsid w:val="00740F0A"/>
    <w:rsid w:val="00745A42"/>
    <w:rsid w:val="00764286"/>
    <w:rsid w:val="0077203A"/>
    <w:rsid w:val="00772F25"/>
    <w:rsid w:val="007911B7"/>
    <w:rsid w:val="007927F5"/>
    <w:rsid w:val="007C19BF"/>
    <w:rsid w:val="007C3B8F"/>
    <w:rsid w:val="007C75A6"/>
    <w:rsid w:val="007D4870"/>
    <w:rsid w:val="007E20FD"/>
    <w:rsid w:val="008078E0"/>
    <w:rsid w:val="00811257"/>
    <w:rsid w:val="00820747"/>
    <w:rsid w:val="00836BAF"/>
    <w:rsid w:val="0084486C"/>
    <w:rsid w:val="00846583"/>
    <w:rsid w:val="00866FFC"/>
    <w:rsid w:val="0087007E"/>
    <w:rsid w:val="0087782C"/>
    <w:rsid w:val="00896D4C"/>
    <w:rsid w:val="008A2A49"/>
    <w:rsid w:val="008C0653"/>
    <w:rsid w:val="008E4276"/>
    <w:rsid w:val="008E5EEC"/>
    <w:rsid w:val="00940A42"/>
    <w:rsid w:val="0094711F"/>
    <w:rsid w:val="009556C2"/>
    <w:rsid w:val="0095623B"/>
    <w:rsid w:val="0095781E"/>
    <w:rsid w:val="009678F8"/>
    <w:rsid w:val="00971E78"/>
    <w:rsid w:val="00972348"/>
    <w:rsid w:val="00977D37"/>
    <w:rsid w:val="00985079"/>
    <w:rsid w:val="009A0C56"/>
    <w:rsid w:val="009A10D2"/>
    <w:rsid w:val="009C09BD"/>
    <w:rsid w:val="009C4560"/>
    <w:rsid w:val="009E5C79"/>
    <w:rsid w:val="00A06BDF"/>
    <w:rsid w:val="00A07E24"/>
    <w:rsid w:val="00A618E6"/>
    <w:rsid w:val="00A6258F"/>
    <w:rsid w:val="00A7026D"/>
    <w:rsid w:val="00A85049"/>
    <w:rsid w:val="00A90938"/>
    <w:rsid w:val="00AA3F9C"/>
    <w:rsid w:val="00AA49B8"/>
    <w:rsid w:val="00AD2C51"/>
    <w:rsid w:val="00AE2176"/>
    <w:rsid w:val="00AE3D83"/>
    <w:rsid w:val="00AF4C37"/>
    <w:rsid w:val="00B0141C"/>
    <w:rsid w:val="00B16844"/>
    <w:rsid w:val="00B66CAC"/>
    <w:rsid w:val="00B70D6A"/>
    <w:rsid w:val="00BC2D56"/>
    <w:rsid w:val="00BD03A7"/>
    <w:rsid w:val="00BD3839"/>
    <w:rsid w:val="00BE0780"/>
    <w:rsid w:val="00C57919"/>
    <w:rsid w:val="00C62066"/>
    <w:rsid w:val="00C70A4F"/>
    <w:rsid w:val="00CA6748"/>
    <w:rsid w:val="00CC285A"/>
    <w:rsid w:val="00CF46A9"/>
    <w:rsid w:val="00D0721C"/>
    <w:rsid w:val="00D34099"/>
    <w:rsid w:val="00D346C2"/>
    <w:rsid w:val="00D4390A"/>
    <w:rsid w:val="00D47D92"/>
    <w:rsid w:val="00D670C4"/>
    <w:rsid w:val="00D94AAB"/>
    <w:rsid w:val="00D97C60"/>
    <w:rsid w:val="00DA526C"/>
    <w:rsid w:val="00DD76C3"/>
    <w:rsid w:val="00DF1673"/>
    <w:rsid w:val="00E30623"/>
    <w:rsid w:val="00E30BBA"/>
    <w:rsid w:val="00E4223E"/>
    <w:rsid w:val="00E51DC5"/>
    <w:rsid w:val="00E54E5B"/>
    <w:rsid w:val="00EA34FB"/>
    <w:rsid w:val="00EB4099"/>
    <w:rsid w:val="00EC0F77"/>
    <w:rsid w:val="00EF4569"/>
    <w:rsid w:val="00F312BC"/>
    <w:rsid w:val="00F32195"/>
    <w:rsid w:val="00F34F4B"/>
    <w:rsid w:val="00F428F6"/>
    <w:rsid w:val="00F5317B"/>
    <w:rsid w:val="00FA7AC0"/>
    <w:rsid w:val="00FB2C07"/>
    <w:rsid w:val="00FB312D"/>
    <w:rsid w:val="00FC1591"/>
    <w:rsid w:val="00FD677D"/>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oNotEmbedSmartTags/>
  <w:decimalSymbol w:val=","/>
  <w:listSeparator w:val=";"/>
  <w14:docId w14:val="330D7333"/>
  <w15:chartTrackingRefBased/>
  <w15:docId w15:val="{AC2B4F7E-305D-49A4-AEC4-0923419047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it-IT" w:eastAsia="it-IT"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pPr>
      <w:widowControl w:val="0"/>
      <w:suppressAutoHyphens/>
    </w:pPr>
    <w:rPr>
      <w:rFonts w:eastAsia="SimSun" w:cs="Mangal"/>
      <w:kern w:val="1"/>
      <w:sz w:val="24"/>
      <w:szCs w:val="24"/>
      <w:lang w:eastAsia="zh-CN" w:bidi="hi-IN"/>
    </w:rPr>
  </w:style>
  <w:style w:type="paragraph" w:styleId="Titolo1">
    <w:name w:val="heading 1"/>
    <w:basedOn w:val="Intestazione1"/>
    <w:next w:val="Corpotesto"/>
    <w:qFormat/>
    <w:pPr>
      <w:numPr>
        <w:numId w:val="1"/>
      </w:numPr>
      <w:outlineLvl w:val="0"/>
    </w:pPr>
    <w:rPr>
      <w:b/>
      <w:bCs/>
      <w:sz w:val="32"/>
      <w:szCs w:val="32"/>
    </w:rPr>
  </w:style>
  <w:style w:type="paragraph" w:styleId="Titolo2">
    <w:name w:val="heading 2"/>
    <w:basedOn w:val="Intestazione1"/>
    <w:next w:val="Corpotesto"/>
    <w:qFormat/>
    <w:pPr>
      <w:numPr>
        <w:ilvl w:val="1"/>
        <w:numId w:val="1"/>
      </w:numPr>
      <w:outlineLvl w:val="1"/>
    </w:pPr>
    <w:rPr>
      <w:b/>
      <w:bCs/>
      <w:i/>
      <w:iCs/>
    </w:rPr>
  </w:style>
  <w:style w:type="paragraph" w:styleId="Titolo3">
    <w:name w:val="heading 3"/>
    <w:basedOn w:val="Intestazione1"/>
    <w:next w:val="Corpotesto"/>
    <w:qFormat/>
    <w:pPr>
      <w:numPr>
        <w:ilvl w:val="2"/>
        <w:numId w:val="1"/>
      </w:numPr>
      <w:outlineLvl w:val="2"/>
    </w:pPr>
    <w:rPr>
      <w:b/>
      <w:bCs/>
    </w:rPr>
  </w:style>
  <w:style w:type="paragraph" w:styleId="Titolo4">
    <w:name w:val="heading 4"/>
    <w:basedOn w:val="Normale"/>
    <w:next w:val="Normale"/>
    <w:link w:val="Titolo4Carattere"/>
    <w:uiPriority w:val="9"/>
    <w:semiHidden/>
    <w:unhideWhenUsed/>
    <w:qFormat/>
    <w:rsid w:val="009A10D2"/>
    <w:pPr>
      <w:keepNext/>
      <w:spacing w:before="240" w:after="60"/>
      <w:outlineLvl w:val="3"/>
    </w:pPr>
    <w:rPr>
      <w:rFonts w:ascii="Calibri" w:eastAsia="Times New Roman" w:hAnsi="Calibri"/>
      <w:b/>
      <w:bCs/>
      <w:sz w:val="28"/>
      <w:szCs w:val="25"/>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Caratteredinumerazione">
    <w:name w:val="Carattere di numerazione"/>
  </w:style>
  <w:style w:type="character" w:customStyle="1" w:styleId="Punti">
    <w:name w:val="Punti"/>
    <w:rPr>
      <w:rFonts w:ascii="OpenSymbol" w:eastAsia="OpenSymbol" w:hAnsi="OpenSymbol" w:cs="OpenSymbol"/>
    </w:rPr>
  </w:style>
  <w:style w:type="character" w:styleId="Collegamentoipertestuale">
    <w:name w:val="Hyperlink"/>
    <w:rPr>
      <w:color w:val="000080"/>
      <w:u w:val="single"/>
    </w:rPr>
  </w:style>
  <w:style w:type="paragraph" w:customStyle="1" w:styleId="Intestazione1">
    <w:name w:val="Intestazione1"/>
    <w:basedOn w:val="Normale"/>
    <w:next w:val="Corpotesto"/>
    <w:pPr>
      <w:keepNext/>
      <w:spacing w:before="240" w:after="120"/>
    </w:pPr>
    <w:rPr>
      <w:rFonts w:ascii="Arial" w:eastAsia="Microsoft YaHei" w:hAnsi="Arial"/>
      <w:sz w:val="28"/>
      <w:szCs w:val="28"/>
    </w:rPr>
  </w:style>
  <w:style w:type="paragraph" w:styleId="Corpotesto">
    <w:name w:val="Body Text"/>
    <w:basedOn w:val="Normale"/>
    <w:pPr>
      <w:spacing w:after="120"/>
    </w:pPr>
  </w:style>
  <w:style w:type="paragraph" w:styleId="Elenco">
    <w:name w:val="List"/>
    <w:basedOn w:val="Corpotesto"/>
  </w:style>
  <w:style w:type="paragraph" w:styleId="Didascalia">
    <w:name w:val="caption"/>
    <w:basedOn w:val="Normale"/>
    <w:qFormat/>
    <w:pPr>
      <w:suppressLineNumbers/>
      <w:spacing w:before="120" w:after="120"/>
    </w:pPr>
    <w:rPr>
      <w:i/>
      <w:iCs/>
    </w:rPr>
  </w:style>
  <w:style w:type="paragraph" w:customStyle="1" w:styleId="Indice">
    <w:name w:val="Indice"/>
    <w:basedOn w:val="Normale"/>
    <w:pPr>
      <w:suppressLineNumbers/>
    </w:pPr>
  </w:style>
  <w:style w:type="paragraph" w:customStyle="1" w:styleId="Papertitle">
    <w:name w:val="Paper title"/>
    <w:basedOn w:val="Normale"/>
    <w:next w:val="Authors"/>
    <w:pPr>
      <w:spacing w:after="227"/>
      <w:jc w:val="center"/>
    </w:pPr>
    <w:rPr>
      <w:sz w:val="48"/>
    </w:rPr>
  </w:style>
  <w:style w:type="paragraph" w:customStyle="1" w:styleId="Authors">
    <w:name w:val="Authors"/>
    <w:next w:val="Affiliation"/>
    <w:pPr>
      <w:widowControl w:val="0"/>
      <w:suppressAutoHyphens/>
      <w:spacing w:after="227"/>
      <w:jc w:val="center"/>
    </w:pPr>
    <w:rPr>
      <w:rFonts w:eastAsia="SimSun" w:cs="Mangal"/>
      <w:kern w:val="1"/>
      <w:sz w:val="24"/>
      <w:szCs w:val="24"/>
      <w:lang w:eastAsia="zh-CN" w:bidi="hi-IN"/>
    </w:rPr>
  </w:style>
  <w:style w:type="paragraph" w:customStyle="1" w:styleId="Affiliation">
    <w:name w:val="Affiliation"/>
    <w:pPr>
      <w:widowControl w:val="0"/>
      <w:suppressAutoHyphens/>
      <w:jc w:val="center"/>
    </w:pPr>
    <w:rPr>
      <w:rFonts w:eastAsia="SimSun" w:cs="Mangal"/>
      <w:i/>
      <w:kern w:val="1"/>
      <w:sz w:val="24"/>
      <w:szCs w:val="24"/>
      <w:lang w:eastAsia="zh-CN" w:bidi="hi-IN"/>
    </w:rPr>
  </w:style>
  <w:style w:type="paragraph" w:customStyle="1" w:styleId="Abstract">
    <w:name w:val="Abstract"/>
    <w:pPr>
      <w:widowControl w:val="0"/>
      <w:suppressAutoHyphens/>
      <w:jc w:val="both"/>
    </w:pPr>
    <w:rPr>
      <w:rFonts w:eastAsia="SimSun" w:cs="Mangal"/>
      <w:b/>
      <w:kern w:val="1"/>
      <w:szCs w:val="24"/>
      <w:lang w:eastAsia="zh-CN" w:bidi="hi-IN"/>
    </w:rPr>
  </w:style>
  <w:style w:type="paragraph" w:customStyle="1" w:styleId="Sectionheading">
    <w:name w:val="Section heading"/>
    <w:next w:val="Bodytextfirst"/>
    <w:pPr>
      <w:widowControl w:val="0"/>
      <w:numPr>
        <w:numId w:val="2"/>
      </w:numPr>
      <w:suppressAutoHyphens/>
      <w:spacing w:before="227" w:after="57"/>
      <w:jc w:val="center"/>
    </w:pPr>
    <w:rPr>
      <w:rFonts w:eastAsia="SimSun" w:cs="Mangal"/>
      <w:caps/>
      <w:kern w:val="1"/>
      <w:szCs w:val="24"/>
      <w:lang w:eastAsia="zh-CN" w:bidi="hi-IN"/>
    </w:rPr>
  </w:style>
  <w:style w:type="paragraph" w:customStyle="1" w:styleId="Bodytextfirst">
    <w:name w:val="Body text first"/>
    <w:autoRedefine/>
    <w:rsid w:val="00F428F6"/>
    <w:pPr>
      <w:widowControl w:val="0"/>
      <w:suppressAutoHyphens/>
      <w:ind w:firstLine="283"/>
      <w:jc w:val="both"/>
    </w:pPr>
    <w:rPr>
      <w:rFonts w:eastAsia="SimSun" w:cs="Mangal"/>
      <w:szCs w:val="24"/>
      <w:lang w:eastAsia="zh-CN" w:bidi="hi-IN"/>
    </w:rPr>
  </w:style>
  <w:style w:type="paragraph" w:customStyle="1" w:styleId="Subsectionheading">
    <w:name w:val="Subsection heading"/>
    <w:next w:val="Bodytextfirst"/>
    <w:pPr>
      <w:widowControl w:val="0"/>
      <w:numPr>
        <w:numId w:val="5"/>
      </w:numPr>
      <w:suppressAutoHyphens/>
      <w:spacing w:before="227" w:after="57"/>
    </w:pPr>
    <w:rPr>
      <w:rFonts w:eastAsia="SimSun" w:cs="Mangal"/>
      <w:i/>
      <w:kern w:val="1"/>
      <w:szCs w:val="24"/>
      <w:lang w:eastAsia="zh-CN" w:bidi="hi-IN"/>
    </w:rPr>
  </w:style>
  <w:style w:type="paragraph" w:customStyle="1" w:styleId="Equation">
    <w:name w:val="Equation"/>
    <w:next w:val="Bodytextfirst"/>
    <w:pPr>
      <w:widowControl w:val="0"/>
      <w:tabs>
        <w:tab w:val="center" w:pos="2324"/>
        <w:tab w:val="right" w:pos="4649"/>
      </w:tabs>
      <w:suppressAutoHyphens/>
      <w:spacing w:before="227" w:after="227"/>
      <w:jc w:val="center"/>
    </w:pPr>
    <w:rPr>
      <w:rFonts w:eastAsia="SimSun" w:cs="Mangal"/>
      <w:kern w:val="1"/>
      <w:szCs w:val="24"/>
      <w:lang w:eastAsia="zh-CN" w:bidi="hi-IN"/>
    </w:rPr>
  </w:style>
  <w:style w:type="paragraph" w:customStyle="1" w:styleId="References">
    <w:name w:val="References"/>
    <w:pPr>
      <w:widowControl w:val="0"/>
      <w:numPr>
        <w:numId w:val="4"/>
      </w:numPr>
      <w:suppressAutoHyphens/>
      <w:jc w:val="both"/>
    </w:pPr>
    <w:rPr>
      <w:rFonts w:eastAsia="SimSun" w:cs="Mangal"/>
      <w:kern w:val="1"/>
      <w:szCs w:val="24"/>
      <w:lang w:eastAsia="zh-CN" w:bidi="hi-IN"/>
    </w:rPr>
  </w:style>
  <w:style w:type="paragraph" w:customStyle="1" w:styleId="Caption1">
    <w:name w:val="Caption1"/>
    <w:basedOn w:val="Didascalia"/>
    <w:pPr>
      <w:jc w:val="center"/>
    </w:pPr>
    <w:rPr>
      <w:sz w:val="20"/>
    </w:rPr>
  </w:style>
  <w:style w:type="paragraph" w:customStyle="1" w:styleId="Contenutotabella">
    <w:name w:val="Contenuto tabella"/>
    <w:basedOn w:val="Normale"/>
    <w:pPr>
      <w:suppressLineNumbers/>
    </w:pPr>
  </w:style>
  <w:style w:type="paragraph" w:customStyle="1" w:styleId="Intestazionetabella">
    <w:name w:val="Intestazione tabella"/>
    <w:basedOn w:val="Contenutotabella"/>
    <w:pPr>
      <w:jc w:val="center"/>
    </w:pPr>
    <w:rPr>
      <w:b/>
      <w:bCs/>
    </w:rPr>
  </w:style>
  <w:style w:type="paragraph" w:styleId="Intestazione">
    <w:name w:val="header"/>
    <w:basedOn w:val="Normale"/>
    <w:pPr>
      <w:suppressLineNumbers/>
      <w:tabs>
        <w:tab w:val="center" w:pos="4819"/>
        <w:tab w:val="right" w:pos="9638"/>
      </w:tabs>
    </w:pPr>
  </w:style>
  <w:style w:type="paragraph" w:customStyle="1" w:styleId="Contenutocornice">
    <w:name w:val="Contenuto cornice"/>
    <w:basedOn w:val="Corpotesto"/>
  </w:style>
  <w:style w:type="paragraph" w:customStyle="1" w:styleId="Corpotesto1">
    <w:name w:val="Corpo testo1"/>
    <w:basedOn w:val="Bodytextfirst"/>
    <w:pPr>
      <w:ind w:firstLine="0"/>
    </w:pPr>
  </w:style>
  <w:style w:type="paragraph" w:styleId="Pidipagina">
    <w:name w:val="footer"/>
    <w:basedOn w:val="Normale"/>
    <w:link w:val="PidipaginaCarattere"/>
    <w:uiPriority w:val="99"/>
    <w:unhideWhenUsed/>
    <w:rsid w:val="007927F5"/>
    <w:pPr>
      <w:tabs>
        <w:tab w:val="center" w:pos="4819"/>
        <w:tab w:val="right" w:pos="9638"/>
      </w:tabs>
    </w:pPr>
    <w:rPr>
      <w:szCs w:val="21"/>
    </w:rPr>
  </w:style>
  <w:style w:type="character" w:customStyle="1" w:styleId="PidipaginaCarattere">
    <w:name w:val="Piè di pagina Carattere"/>
    <w:link w:val="Pidipagina"/>
    <w:uiPriority w:val="99"/>
    <w:rsid w:val="007927F5"/>
    <w:rPr>
      <w:rFonts w:eastAsia="SimSun" w:cs="Mangal"/>
      <w:kern w:val="1"/>
      <w:sz w:val="24"/>
      <w:szCs w:val="21"/>
      <w:lang w:eastAsia="zh-CN" w:bidi="hi-IN"/>
    </w:rPr>
  </w:style>
  <w:style w:type="character" w:customStyle="1" w:styleId="Titolo4Carattere">
    <w:name w:val="Titolo 4 Carattere"/>
    <w:link w:val="Titolo4"/>
    <w:uiPriority w:val="9"/>
    <w:semiHidden/>
    <w:rsid w:val="009A10D2"/>
    <w:rPr>
      <w:rFonts w:ascii="Calibri" w:eastAsia="Times New Roman" w:hAnsi="Calibri" w:cs="Mangal"/>
      <w:b/>
      <w:bCs/>
      <w:kern w:val="1"/>
      <w:sz w:val="28"/>
      <w:szCs w:val="25"/>
      <w:lang w:eastAsia="zh-CN" w:bidi="hi-IN"/>
    </w:rPr>
  </w:style>
  <w:style w:type="character" w:styleId="Testosegnaposto">
    <w:name w:val="Placeholder Text"/>
    <w:basedOn w:val="Carpredefinitoparagrafo"/>
    <w:uiPriority w:val="99"/>
    <w:semiHidden/>
    <w:rsid w:val="00C57919"/>
    <w:rPr>
      <w:color w:val="808080"/>
    </w:rPr>
  </w:style>
  <w:style w:type="table" w:styleId="Grigliatabella">
    <w:name w:val="Table Grid"/>
    <w:basedOn w:val="Tabellanormale"/>
    <w:uiPriority w:val="59"/>
    <w:rsid w:val="00C5791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idascalia1">
    <w:name w:val="Didascalia1"/>
    <w:basedOn w:val="Didascalia"/>
    <w:rsid w:val="00454761"/>
    <w:pPr>
      <w:jc w:val="center"/>
    </w:pPr>
    <w:rPr>
      <w:sz w:val="20"/>
    </w:rPr>
  </w:style>
  <w:style w:type="character" w:styleId="Rimandocommento">
    <w:name w:val="annotation reference"/>
    <w:basedOn w:val="Carpredefinitoparagrafo"/>
    <w:uiPriority w:val="99"/>
    <w:semiHidden/>
    <w:unhideWhenUsed/>
    <w:rsid w:val="007C19BF"/>
    <w:rPr>
      <w:sz w:val="16"/>
      <w:szCs w:val="16"/>
    </w:rPr>
  </w:style>
  <w:style w:type="paragraph" w:styleId="Testocommento">
    <w:name w:val="annotation text"/>
    <w:basedOn w:val="Normale"/>
    <w:link w:val="TestocommentoCarattere"/>
    <w:uiPriority w:val="99"/>
    <w:semiHidden/>
    <w:unhideWhenUsed/>
    <w:rsid w:val="007C19BF"/>
    <w:rPr>
      <w:sz w:val="20"/>
      <w:szCs w:val="18"/>
    </w:rPr>
  </w:style>
  <w:style w:type="character" w:customStyle="1" w:styleId="TestocommentoCarattere">
    <w:name w:val="Testo commento Carattere"/>
    <w:basedOn w:val="Carpredefinitoparagrafo"/>
    <w:link w:val="Testocommento"/>
    <w:uiPriority w:val="99"/>
    <w:semiHidden/>
    <w:rsid w:val="007C19BF"/>
    <w:rPr>
      <w:rFonts w:eastAsia="SimSun" w:cs="Mangal"/>
      <w:kern w:val="1"/>
      <w:szCs w:val="18"/>
      <w:lang w:eastAsia="zh-CN" w:bidi="hi-IN"/>
    </w:rPr>
  </w:style>
  <w:style w:type="paragraph" w:styleId="Soggettocommento">
    <w:name w:val="annotation subject"/>
    <w:basedOn w:val="Testocommento"/>
    <w:next w:val="Testocommento"/>
    <w:link w:val="SoggettocommentoCarattere"/>
    <w:uiPriority w:val="99"/>
    <w:semiHidden/>
    <w:unhideWhenUsed/>
    <w:rsid w:val="007C19BF"/>
    <w:rPr>
      <w:b/>
      <w:bCs/>
    </w:rPr>
  </w:style>
  <w:style w:type="character" w:customStyle="1" w:styleId="SoggettocommentoCarattere">
    <w:name w:val="Soggetto commento Carattere"/>
    <w:basedOn w:val="TestocommentoCarattere"/>
    <w:link w:val="Soggettocommento"/>
    <w:uiPriority w:val="99"/>
    <w:semiHidden/>
    <w:rsid w:val="007C19BF"/>
    <w:rPr>
      <w:rFonts w:eastAsia="SimSun" w:cs="Mangal"/>
      <w:b/>
      <w:bCs/>
      <w:kern w:val="1"/>
      <w:szCs w:val="18"/>
      <w:lang w:eastAsia="zh-CN" w:bidi="hi-IN"/>
    </w:rPr>
  </w:style>
  <w:style w:type="paragraph" w:styleId="Testofumetto">
    <w:name w:val="Balloon Text"/>
    <w:basedOn w:val="Normale"/>
    <w:link w:val="TestofumettoCarattere"/>
    <w:uiPriority w:val="99"/>
    <w:semiHidden/>
    <w:unhideWhenUsed/>
    <w:rsid w:val="007C19BF"/>
    <w:rPr>
      <w:rFonts w:ascii="Segoe UI" w:hAnsi="Segoe UI"/>
      <w:sz w:val="18"/>
      <w:szCs w:val="16"/>
    </w:rPr>
  </w:style>
  <w:style w:type="character" w:customStyle="1" w:styleId="TestofumettoCarattere">
    <w:name w:val="Testo fumetto Carattere"/>
    <w:basedOn w:val="Carpredefinitoparagrafo"/>
    <w:link w:val="Testofumetto"/>
    <w:uiPriority w:val="99"/>
    <w:semiHidden/>
    <w:rsid w:val="007C19BF"/>
    <w:rPr>
      <w:rFonts w:ascii="Segoe UI" w:eastAsia="SimSun" w:hAnsi="Segoe UI" w:cs="Mangal"/>
      <w:kern w:val="1"/>
      <w:sz w:val="18"/>
      <w:szCs w:val="16"/>
      <w:lang w:eastAsia="zh-CN" w:bidi="hi-IN"/>
    </w:rPr>
  </w:style>
  <w:style w:type="paragraph" w:customStyle="1" w:styleId="references0">
    <w:name w:val="references"/>
    <w:uiPriority w:val="99"/>
    <w:rsid w:val="00F428F6"/>
    <w:pPr>
      <w:numPr>
        <w:numId w:val="7"/>
      </w:numPr>
      <w:spacing w:after="50" w:line="180" w:lineRule="exact"/>
      <w:jc w:val="both"/>
    </w:pPr>
    <w:rPr>
      <w:rFonts w:eastAsia="MS Mincho"/>
      <w:noProof/>
      <w:sz w:val="16"/>
      <w:szCs w:val="16"/>
      <w:lang w:val="en-US" w:eastAsia="en-US"/>
    </w:rPr>
  </w:style>
  <w:style w:type="character" w:styleId="Collegamentovisitato">
    <w:name w:val="FollowedHyperlink"/>
    <w:basedOn w:val="Carpredefinitoparagrafo"/>
    <w:uiPriority w:val="99"/>
    <w:semiHidden/>
    <w:unhideWhenUsed/>
    <w:rsid w:val="00FB2C07"/>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7082478">
      <w:bodyDiv w:val="1"/>
      <w:marLeft w:val="0"/>
      <w:marRight w:val="0"/>
      <w:marTop w:val="0"/>
      <w:marBottom w:val="0"/>
      <w:divBdr>
        <w:top w:val="none" w:sz="0" w:space="0" w:color="auto"/>
        <w:left w:val="none" w:sz="0" w:space="0" w:color="auto"/>
        <w:bottom w:val="none" w:sz="0" w:space="0" w:color="auto"/>
        <w:right w:val="none" w:sz="0" w:space="0" w:color="auto"/>
      </w:divBdr>
    </w:div>
    <w:div w:id="1417096788">
      <w:bodyDiv w:val="1"/>
      <w:marLeft w:val="0"/>
      <w:marRight w:val="0"/>
      <w:marTop w:val="0"/>
      <w:marBottom w:val="0"/>
      <w:divBdr>
        <w:top w:val="none" w:sz="0" w:space="0" w:color="auto"/>
        <w:left w:val="none" w:sz="0" w:space="0" w:color="auto"/>
        <w:bottom w:val="none" w:sz="0" w:space="0" w:color="auto"/>
        <w:right w:val="none" w:sz="0" w:space="0" w:color="auto"/>
      </w:divBdr>
    </w:div>
    <w:div w:id="1863667149">
      <w:bodyDiv w:val="1"/>
      <w:marLeft w:val="0"/>
      <w:marRight w:val="0"/>
      <w:marTop w:val="0"/>
      <w:marBottom w:val="0"/>
      <w:divBdr>
        <w:top w:val="none" w:sz="0" w:space="0" w:color="auto"/>
        <w:left w:val="none" w:sz="0" w:space="0" w:color="auto"/>
        <w:bottom w:val="none" w:sz="0" w:space="0" w:color="auto"/>
        <w:right w:val="none" w:sz="0" w:space="0" w:color="auto"/>
      </w:divBdr>
      <w:divsChild>
        <w:div w:id="133762221">
          <w:marLeft w:val="0"/>
          <w:marRight w:val="0"/>
          <w:marTop w:val="0"/>
          <w:marBottom w:val="0"/>
          <w:divBdr>
            <w:top w:val="none" w:sz="0" w:space="0" w:color="auto"/>
            <w:left w:val="none" w:sz="0" w:space="0" w:color="auto"/>
            <w:bottom w:val="none" w:sz="0" w:space="0" w:color="auto"/>
            <w:right w:val="none" w:sz="0" w:space="0" w:color="auto"/>
          </w:divBdr>
          <w:divsChild>
            <w:div w:id="75251516">
              <w:marLeft w:val="0"/>
              <w:marRight w:val="0"/>
              <w:marTop w:val="0"/>
              <w:marBottom w:val="0"/>
              <w:divBdr>
                <w:top w:val="none" w:sz="0" w:space="0" w:color="auto"/>
                <w:left w:val="none" w:sz="0" w:space="0" w:color="auto"/>
                <w:bottom w:val="none" w:sz="0" w:space="0" w:color="auto"/>
                <w:right w:val="none" w:sz="0" w:space="0" w:color="auto"/>
              </w:divBdr>
              <w:divsChild>
                <w:div w:id="881945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1419743">
          <w:marLeft w:val="0"/>
          <w:marRight w:val="0"/>
          <w:marTop w:val="0"/>
          <w:marBottom w:val="0"/>
          <w:divBdr>
            <w:top w:val="none" w:sz="0" w:space="0" w:color="auto"/>
            <w:left w:val="none" w:sz="0" w:space="0" w:color="auto"/>
            <w:bottom w:val="none" w:sz="0" w:space="0" w:color="auto"/>
            <w:right w:val="none" w:sz="0" w:space="0" w:color="auto"/>
          </w:divBdr>
          <w:divsChild>
            <w:div w:id="1421637545">
              <w:marLeft w:val="0"/>
              <w:marRight w:val="0"/>
              <w:marTop w:val="0"/>
              <w:marBottom w:val="0"/>
              <w:divBdr>
                <w:top w:val="none" w:sz="0" w:space="0" w:color="auto"/>
                <w:left w:val="none" w:sz="0" w:space="0" w:color="auto"/>
                <w:bottom w:val="none" w:sz="0" w:space="0" w:color="auto"/>
                <w:right w:val="none" w:sz="0" w:space="0" w:color="auto"/>
              </w:divBdr>
              <w:divsChild>
                <w:div w:id="1515798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image" Target="media/image50.emf"/><Relationship Id="rId3" Type="http://schemas.openxmlformats.org/officeDocument/2006/relationships/styles" Target="styles.xml"/><Relationship Id="rId21" Type="http://schemas.openxmlformats.org/officeDocument/2006/relationships/image" Target="media/image7.emf"/><Relationship Id="rId7" Type="http://schemas.openxmlformats.org/officeDocument/2006/relationships/endnotes" Target="endnotes.xml"/><Relationship Id="rId12" Type="http://schemas.openxmlformats.org/officeDocument/2006/relationships/image" Target="media/image20.tiff"/><Relationship Id="rId17" Type="http://schemas.openxmlformats.org/officeDocument/2006/relationships/image" Target="media/image5.emf"/><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0.emf"/><Relationship Id="rId20" Type="http://schemas.openxmlformats.org/officeDocument/2006/relationships/image" Target="media/image60.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tiff"/><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hyperlink" Target="https://myrails.it/" TargetMode="External"/><Relationship Id="rId10" Type="http://schemas.openxmlformats.org/officeDocument/2006/relationships/image" Target="media/image10.PNG"/><Relationship Id="rId19" Type="http://schemas.openxmlformats.org/officeDocument/2006/relationships/image" Target="media/image6.emf"/><Relationship Id="rId4" Type="http://schemas.openxmlformats.org/officeDocument/2006/relationships/settings" Target="settings.xml"/><Relationship Id="rId14" Type="http://schemas.openxmlformats.org/officeDocument/2006/relationships/image" Target="media/image30.png"/><Relationship Id="rId22" Type="http://schemas.openxmlformats.org/officeDocument/2006/relationships/image" Target="media/image7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8D88EDB-9B1E-43E1-90ED-6818D65E83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294</TotalTime>
  <Pages>5</Pages>
  <Words>2690</Words>
  <Characters>15335</Characters>
  <Application>Microsoft Office Word</Application>
  <DocSecurity>0</DocSecurity>
  <Lines>127</Lines>
  <Paragraphs>35</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17990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Luca De Vito</dc:creator>
  <cp:keywords/>
  <cp:lastModifiedBy>Davide</cp:lastModifiedBy>
  <cp:revision>10</cp:revision>
  <cp:lastPrinted>2020-07-30T10:31:00Z</cp:lastPrinted>
  <dcterms:created xsi:type="dcterms:W3CDTF">2020-07-21T07:55:00Z</dcterms:created>
  <dcterms:modified xsi:type="dcterms:W3CDTF">2021-03-08T16:19:00Z</dcterms:modified>
</cp:coreProperties>
</file>